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92" w:rsidRDefault="002B3804" w:rsidP="002B3804">
      <w:pPr>
        <w:rPr>
          <w:b/>
        </w:rPr>
      </w:pPr>
      <w:r>
        <w:rPr>
          <w:b/>
        </w:rPr>
        <w:t xml:space="preserve">Appendix </w:t>
      </w:r>
      <w:r w:rsidR="00037F05">
        <w:rPr>
          <w:b/>
        </w:rPr>
        <w:t>C</w:t>
      </w:r>
      <w:r>
        <w:rPr>
          <w:b/>
        </w:rPr>
        <w:t xml:space="preserve"> – </w:t>
      </w:r>
      <w:r w:rsidR="00037F05">
        <w:rPr>
          <w:b/>
        </w:rPr>
        <w:t xml:space="preserve">Review of </w:t>
      </w:r>
      <w:r w:rsidR="00AF4A95">
        <w:rPr>
          <w:b/>
        </w:rPr>
        <w:t>allocat</w:t>
      </w:r>
      <w:r w:rsidR="00037F05">
        <w:rPr>
          <w:b/>
        </w:rPr>
        <w:t>ed</w:t>
      </w:r>
      <w:r w:rsidR="00AF4A95">
        <w:rPr>
          <w:b/>
        </w:rPr>
        <w:t xml:space="preserve"> homelessness prevention funds </w:t>
      </w:r>
      <w:r>
        <w:rPr>
          <w:b/>
        </w:rPr>
        <w:t>201</w:t>
      </w:r>
      <w:r w:rsidR="00AF4A95">
        <w:rPr>
          <w:b/>
        </w:rPr>
        <w:t>9/20</w:t>
      </w:r>
    </w:p>
    <w:p w:rsidR="00AF4A95" w:rsidRPr="00782FB6" w:rsidRDefault="00AF4A95" w:rsidP="002B3804">
      <w:pPr>
        <w:rPr>
          <w:b/>
        </w:rPr>
      </w:pPr>
    </w:p>
    <w:tbl>
      <w:tblPr>
        <w:tblW w:w="14567" w:type="dxa"/>
        <w:tblInd w:w="82" w:type="dxa"/>
        <w:tblLayout w:type="fixed"/>
        <w:tblLook w:val="04A0" w:firstRow="1" w:lastRow="0" w:firstColumn="1" w:lastColumn="0" w:noHBand="0" w:noVBand="1"/>
      </w:tblPr>
      <w:tblGrid>
        <w:gridCol w:w="2835"/>
        <w:gridCol w:w="2171"/>
        <w:gridCol w:w="1422"/>
        <w:gridCol w:w="1373"/>
        <w:gridCol w:w="6766"/>
      </w:tblGrid>
      <w:tr w:rsidR="00C5029D" w:rsidRPr="00C5029D" w:rsidTr="006054FE">
        <w:trPr>
          <w:trHeight w:val="893"/>
        </w:trPr>
        <w:tc>
          <w:tcPr>
            <w:tcW w:w="28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Service areas</w:t>
            </w:r>
          </w:p>
        </w:tc>
        <w:tc>
          <w:tcPr>
            <w:tcW w:w="2171" w:type="dxa"/>
            <w:tcBorders>
              <w:top w:val="single" w:sz="4" w:space="0" w:color="auto"/>
              <w:left w:val="nil"/>
              <w:bottom w:val="single" w:sz="4" w:space="0" w:color="auto"/>
              <w:right w:val="single" w:sz="4" w:space="0" w:color="auto"/>
            </w:tcBorders>
            <w:shd w:val="clear" w:color="000000" w:fill="D9D9D9"/>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Provider</w:t>
            </w:r>
          </w:p>
        </w:tc>
        <w:tc>
          <w:tcPr>
            <w:tcW w:w="1422" w:type="dxa"/>
            <w:tcBorders>
              <w:top w:val="single" w:sz="4" w:space="0" w:color="auto"/>
              <w:left w:val="nil"/>
              <w:bottom w:val="single" w:sz="4" w:space="0" w:color="auto"/>
              <w:right w:val="single" w:sz="4" w:space="0" w:color="auto"/>
            </w:tcBorders>
            <w:shd w:val="clear" w:color="auto" w:fill="D9D9D9" w:themeFill="background1" w:themeFillShade="D9"/>
          </w:tcPr>
          <w:p w:rsidR="00C5029D" w:rsidRPr="00C5029D" w:rsidRDefault="00C5029D" w:rsidP="00C5029D">
            <w:pPr>
              <w:pStyle w:val="Caption"/>
              <w:spacing w:beforeLines="60" w:before="144" w:afterLines="60" w:after="144"/>
              <w:rPr>
                <w:sz w:val="22"/>
                <w:szCs w:val="22"/>
              </w:rPr>
            </w:pPr>
            <w:r w:rsidRPr="00C5029D">
              <w:rPr>
                <w:sz w:val="22"/>
                <w:szCs w:val="22"/>
              </w:rPr>
              <w:t>Allocation 2019/20</w:t>
            </w:r>
          </w:p>
        </w:tc>
        <w:tc>
          <w:tcPr>
            <w:tcW w:w="1373" w:type="dxa"/>
            <w:tcBorders>
              <w:top w:val="single" w:sz="4" w:space="0" w:color="auto"/>
              <w:left w:val="single" w:sz="4" w:space="0" w:color="auto"/>
              <w:bottom w:val="single" w:sz="4" w:space="0" w:color="auto"/>
              <w:right w:val="single" w:sz="4" w:space="0" w:color="auto"/>
            </w:tcBorders>
            <w:shd w:val="clear" w:color="000000" w:fill="D9D9D9"/>
          </w:tcPr>
          <w:p w:rsidR="00C5029D" w:rsidRPr="00C5029D" w:rsidRDefault="00C5029D" w:rsidP="00C5029D">
            <w:pPr>
              <w:pStyle w:val="Caption"/>
              <w:spacing w:beforeLines="60" w:before="144" w:afterLines="60" w:after="144"/>
              <w:rPr>
                <w:sz w:val="22"/>
                <w:szCs w:val="22"/>
              </w:rPr>
            </w:pPr>
            <w:r>
              <w:rPr>
                <w:sz w:val="22"/>
                <w:szCs w:val="22"/>
              </w:rPr>
              <w:t>Forecast to year end</w:t>
            </w:r>
          </w:p>
        </w:tc>
        <w:tc>
          <w:tcPr>
            <w:tcW w:w="676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Purpose</w:t>
            </w:r>
          </w:p>
        </w:tc>
      </w:tr>
      <w:tr w:rsidR="00C5029D" w:rsidRPr="00C5029D" w:rsidTr="006054FE">
        <w:trPr>
          <w:trHeight w:val="360"/>
        </w:trPr>
        <w:tc>
          <w:tcPr>
            <w:tcW w:w="2835" w:type="dxa"/>
            <w:tcBorders>
              <w:top w:val="nil"/>
              <w:left w:val="single" w:sz="4" w:space="0" w:color="auto"/>
              <w:bottom w:val="single" w:sz="4" w:space="0" w:color="auto"/>
              <w:right w:val="single" w:sz="4" w:space="0" w:color="auto"/>
            </w:tcBorders>
            <w:shd w:val="clear" w:color="000000" w:fill="FABF8F"/>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Supported accommodation</w:t>
            </w:r>
          </w:p>
        </w:tc>
        <w:tc>
          <w:tcPr>
            <w:tcW w:w="2171" w:type="dxa"/>
            <w:tcBorders>
              <w:top w:val="nil"/>
              <w:left w:val="nil"/>
              <w:bottom w:val="single" w:sz="4" w:space="0" w:color="auto"/>
              <w:right w:val="single" w:sz="4" w:space="0" w:color="auto"/>
            </w:tcBorders>
            <w:shd w:val="clear" w:color="000000" w:fill="FABF8F"/>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nil"/>
              <w:left w:val="nil"/>
              <w:bottom w:val="single" w:sz="4" w:space="0" w:color="auto"/>
              <w:right w:val="single" w:sz="4" w:space="0" w:color="auto"/>
            </w:tcBorders>
            <w:shd w:val="clear" w:color="000000" w:fill="FABF8F"/>
            <w:vAlign w:val="center"/>
          </w:tcPr>
          <w:p w:rsidR="00C5029D" w:rsidRPr="00C5029D" w:rsidRDefault="00C5029D" w:rsidP="00C5029D">
            <w:pPr>
              <w:jc w:val="center"/>
              <w:rPr>
                <w:rFonts w:cs="Arial"/>
                <w:b/>
                <w:bCs/>
                <w:sz w:val="22"/>
                <w:szCs w:val="22"/>
              </w:rPr>
            </w:pPr>
            <w:r w:rsidRPr="00C5029D">
              <w:rPr>
                <w:rFonts w:cs="Arial"/>
                <w:b/>
                <w:bCs/>
                <w:sz w:val="22"/>
                <w:szCs w:val="22"/>
              </w:rPr>
              <w:t>£810,075</w:t>
            </w:r>
          </w:p>
        </w:tc>
        <w:tc>
          <w:tcPr>
            <w:tcW w:w="1373" w:type="dxa"/>
            <w:tcBorders>
              <w:top w:val="single" w:sz="4" w:space="0" w:color="auto"/>
              <w:left w:val="single" w:sz="4" w:space="0" w:color="auto"/>
              <w:bottom w:val="single" w:sz="4" w:space="0" w:color="auto"/>
              <w:right w:val="single" w:sz="4" w:space="0" w:color="auto"/>
            </w:tcBorders>
            <w:shd w:val="clear" w:color="000000" w:fill="FABF8F"/>
            <w:vAlign w:val="center"/>
          </w:tcPr>
          <w:p w:rsidR="00C5029D" w:rsidRPr="00C5029D" w:rsidRDefault="00C5029D" w:rsidP="006054FE">
            <w:pPr>
              <w:jc w:val="center"/>
              <w:rPr>
                <w:rFonts w:cs="Arial"/>
                <w:b/>
                <w:bCs/>
                <w:sz w:val="22"/>
                <w:szCs w:val="22"/>
              </w:rPr>
            </w:pPr>
            <w:r w:rsidRPr="00C5029D">
              <w:rPr>
                <w:rFonts w:cs="Arial"/>
                <w:b/>
                <w:bCs/>
                <w:sz w:val="22"/>
                <w:szCs w:val="22"/>
              </w:rPr>
              <w:t>£</w:t>
            </w:r>
            <w:r w:rsidR="006054FE">
              <w:rPr>
                <w:rFonts w:cs="Arial"/>
                <w:b/>
                <w:bCs/>
                <w:sz w:val="22"/>
                <w:szCs w:val="22"/>
              </w:rPr>
              <w:t>804,830</w:t>
            </w:r>
          </w:p>
        </w:tc>
        <w:tc>
          <w:tcPr>
            <w:tcW w:w="6766" w:type="dxa"/>
            <w:tcBorders>
              <w:top w:val="nil"/>
              <w:left w:val="single" w:sz="4" w:space="0" w:color="auto"/>
              <w:bottom w:val="single" w:sz="4" w:space="0" w:color="auto"/>
              <w:right w:val="single" w:sz="4" w:space="0" w:color="auto"/>
            </w:tcBorders>
            <w:shd w:val="clear" w:color="000000" w:fill="FABF8F"/>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Contribution Oxfordshire Pooled Budget for the Adult Homeless Pathway</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Oxfordshire AHP / Oxfordshire CC commissioner</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£161,700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£161,700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Provision of supported housing.</w:t>
            </w:r>
          </w:p>
        </w:tc>
      </w:tr>
      <w:tr w:rsidR="00C5029D" w:rsidRPr="00C5029D" w:rsidTr="006054FE">
        <w:trPr>
          <w:trHeight w:val="6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NSNO Sit-up Service - O'Hanlon House</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Homeless Oxfordshire</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£54,903</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£54,903</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10 additional spaces to help manage the high number of rough sleepers. </w:t>
            </w:r>
            <w:r w:rsidRPr="00C5029D">
              <w:rPr>
                <w:rFonts w:cs="Arial"/>
                <w:i/>
                <w:color w:val="auto"/>
                <w:sz w:val="22"/>
                <w:szCs w:val="22"/>
              </w:rPr>
              <w:t>Capacity increased in 2018/19 and 2019/20 to 20 spaces as a result of the Council being awarded RSI [Rough Sleeping Initiative] funding.</w:t>
            </w:r>
          </w:p>
        </w:tc>
      </w:tr>
      <w:tr w:rsidR="00C5029D" w:rsidRPr="00C5029D" w:rsidTr="006054FE">
        <w:trPr>
          <w:trHeight w:val="11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Housing First </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Homeless Oxfordshire</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£47,850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£47,850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1 FTE Support Worker &amp; 0.5 FTE Peer Support Worker for this specialist housing project. Offers an alternative supported housing model aimed at getting entrenched rough sleepers permanently off the streets. </w:t>
            </w:r>
          </w:p>
        </w:tc>
      </w:tr>
      <w:tr w:rsidR="00473ACB" w:rsidRPr="00C5029D" w:rsidTr="006054FE">
        <w:trPr>
          <w:trHeight w:val="187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73ACB" w:rsidRPr="00C5029D" w:rsidRDefault="00473ACB" w:rsidP="00473ACB">
            <w:pPr>
              <w:spacing w:beforeLines="60" w:before="144" w:afterLines="60" w:after="144"/>
              <w:rPr>
                <w:rFonts w:cs="Arial"/>
                <w:color w:val="auto"/>
                <w:sz w:val="22"/>
                <w:szCs w:val="22"/>
              </w:rPr>
            </w:pPr>
            <w:r w:rsidRPr="00C5029D">
              <w:rPr>
                <w:rFonts w:cs="Arial"/>
                <w:color w:val="auto"/>
                <w:sz w:val="22"/>
                <w:szCs w:val="22"/>
              </w:rPr>
              <w:t>Acacia existing x 5</w:t>
            </w:r>
          </w:p>
        </w:tc>
        <w:tc>
          <w:tcPr>
            <w:tcW w:w="2171" w:type="dxa"/>
            <w:tcBorders>
              <w:top w:val="nil"/>
              <w:left w:val="nil"/>
              <w:bottom w:val="single" w:sz="4" w:space="0" w:color="auto"/>
              <w:right w:val="single" w:sz="4" w:space="0" w:color="auto"/>
            </w:tcBorders>
            <w:shd w:val="clear" w:color="auto" w:fill="auto"/>
            <w:noWrap/>
            <w:vAlign w:val="center"/>
            <w:hideMark/>
          </w:tcPr>
          <w:p w:rsidR="00473ACB" w:rsidRPr="00C5029D" w:rsidRDefault="00473ACB" w:rsidP="00473ACB">
            <w:pPr>
              <w:spacing w:beforeLines="60" w:before="144" w:afterLines="60" w:after="144"/>
              <w:rPr>
                <w:rFonts w:cs="Arial"/>
                <w:color w:val="auto"/>
                <w:sz w:val="22"/>
                <w:szCs w:val="22"/>
              </w:rPr>
            </w:pPr>
            <w:r w:rsidRPr="00C5029D">
              <w:rPr>
                <w:rFonts w:cs="Arial"/>
                <w:color w:val="auto"/>
                <w:sz w:val="22"/>
                <w:szCs w:val="22"/>
              </w:rPr>
              <w:t>Response</w:t>
            </w:r>
          </w:p>
        </w:tc>
        <w:tc>
          <w:tcPr>
            <w:tcW w:w="1422" w:type="dxa"/>
            <w:tcBorders>
              <w:top w:val="nil"/>
              <w:left w:val="nil"/>
              <w:bottom w:val="single" w:sz="4" w:space="0" w:color="auto"/>
              <w:right w:val="single" w:sz="4" w:space="0" w:color="auto"/>
            </w:tcBorders>
            <w:vAlign w:val="center"/>
          </w:tcPr>
          <w:p w:rsidR="00473ACB" w:rsidRPr="00C5029D" w:rsidRDefault="00473ACB" w:rsidP="00473ACB">
            <w:pPr>
              <w:spacing w:beforeLines="60" w:before="144" w:afterLines="60" w:after="144"/>
              <w:jc w:val="center"/>
              <w:rPr>
                <w:rFonts w:cs="Arial"/>
                <w:color w:val="auto"/>
                <w:sz w:val="22"/>
                <w:szCs w:val="22"/>
              </w:rPr>
            </w:pPr>
            <w:r w:rsidRPr="00C5029D">
              <w:rPr>
                <w:rFonts w:cs="Arial"/>
                <w:color w:val="auto"/>
                <w:sz w:val="22"/>
                <w:szCs w:val="22"/>
              </w:rPr>
              <w:t>£47,850</w:t>
            </w:r>
          </w:p>
        </w:tc>
        <w:tc>
          <w:tcPr>
            <w:tcW w:w="1373" w:type="dxa"/>
            <w:tcBorders>
              <w:top w:val="single" w:sz="4" w:space="0" w:color="auto"/>
              <w:left w:val="single" w:sz="4" w:space="0" w:color="auto"/>
              <w:bottom w:val="single" w:sz="4" w:space="0" w:color="auto"/>
              <w:right w:val="single" w:sz="4" w:space="0" w:color="auto"/>
            </w:tcBorders>
            <w:vAlign w:val="center"/>
          </w:tcPr>
          <w:p w:rsidR="00473ACB" w:rsidRPr="00C5029D" w:rsidRDefault="00473ACB" w:rsidP="00473ACB">
            <w:pPr>
              <w:spacing w:beforeLines="60" w:before="144" w:afterLines="60" w:after="144"/>
              <w:jc w:val="center"/>
              <w:rPr>
                <w:rFonts w:cs="Arial"/>
                <w:color w:val="auto"/>
                <w:sz w:val="22"/>
                <w:szCs w:val="22"/>
              </w:rPr>
            </w:pPr>
            <w:r w:rsidRPr="00C5029D">
              <w:rPr>
                <w:rFonts w:cs="Arial"/>
                <w:color w:val="auto"/>
                <w:sz w:val="22"/>
                <w:szCs w:val="22"/>
              </w:rPr>
              <w:t>£47,850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473ACB" w:rsidRPr="00473ACB" w:rsidRDefault="00473ACB" w:rsidP="00473ACB">
            <w:pPr>
              <w:spacing w:beforeLines="60" w:before="144" w:afterLines="60" w:after="144"/>
              <w:rPr>
                <w:rFonts w:cs="Arial"/>
                <w:color w:val="auto"/>
                <w:sz w:val="22"/>
                <w:szCs w:val="22"/>
              </w:rPr>
            </w:pPr>
            <w:r w:rsidRPr="00473ACB">
              <w:rPr>
                <w:rFonts w:cs="Arial"/>
                <w:color w:val="auto"/>
                <w:sz w:val="22"/>
                <w:szCs w:val="22"/>
              </w:rPr>
              <w:t xml:space="preserve">Funding was allocated for 5 units of specialist supported housing for people with complex needs.  The Acacia Project builds on the Housing First model and has developed as a result of recognition by housing and mental health service commissioners </w:t>
            </w:r>
            <w:r>
              <w:rPr>
                <w:rFonts w:cs="Arial"/>
                <w:color w:val="auto"/>
                <w:sz w:val="22"/>
                <w:szCs w:val="22"/>
              </w:rPr>
              <w:t>that there is</w:t>
            </w:r>
            <w:r w:rsidRPr="00473ACB">
              <w:rPr>
                <w:rFonts w:cs="Arial"/>
                <w:color w:val="auto"/>
                <w:sz w:val="22"/>
                <w:szCs w:val="22"/>
              </w:rPr>
              <w:t xml:space="preserve"> an increasing number of people who “fall between the gaps” of mental health services and homelessness services, </w:t>
            </w:r>
            <w:r>
              <w:rPr>
                <w:rFonts w:cs="Arial"/>
                <w:color w:val="auto"/>
                <w:sz w:val="22"/>
                <w:szCs w:val="22"/>
              </w:rPr>
              <w:t xml:space="preserve">and </w:t>
            </w:r>
            <w:r w:rsidRPr="00473ACB">
              <w:rPr>
                <w:rFonts w:cs="Arial"/>
                <w:color w:val="auto"/>
                <w:sz w:val="22"/>
                <w:szCs w:val="22"/>
              </w:rPr>
              <w:t>getting ineffective support from either or both due to their needs.</w:t>
            </w:r>
          </w:p>
        </w:tc>
      </w:tr>
      <w:tr w:rsidR="00473ACB" w:rsidRPr="00C5029D" w:rsidTr="006054FE">
        <w:trPr>
          <w:trHeight w:val="8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473ACB" w:rsidRPr="00C5029D" w:rsidRDefault="00473ACB" w:rsidP="00473ACB">
            <w:pPr>
              <w:spacing w:beforeLines="60" w:before="144" w:afterLines="60" w:after="144"/>
              <w:rPr>
                <w:rFonts w:cs="Arial"/>
                <w:color w:val="auto"/>
                <w:sz w:val="22"/>
                <w:szCs w:val="22"/>
              </w:rPr>
            </w:pPr>
            <w:r w:rsidRPr="00C5029D">
              <w:rPr>
                <w:rFonts w:cs="Arial"/>
                <w:color w:val="auto"/>
                <w:sz w:val="22"/>
                <w:szCs w:val="22"/>
              </w:rPr>
              <w:lastRenderedPageBreak/>
              <w:t>Acacia  additional units - pending</w:t>
            </w:r>
          </w:p>
        </w:tc>
        <w:tc>
          <w:tcPr>
            <w:tcW w:w="2171" w:type="dxa"/>
            <w:tcBorders>
              <w:top w:val="nil"/>
              <w:left w:val="nil"/>
              <w:bottom w:val="single" w:sz="4" w:space="0" w:color="auto"/>
              <w:right w:val="single" w:sz="4" w:space="0" w:color="auto"/>
            </w:tcBorders>
            <w:shd w:val="clear" w:color="auto" w:fill="auto"/>
            <w:noWrap/>
            <w:vAlign w:val="center"/>
            <w:hideMark/>
          </w:tcPr>
          <w:p w:rsidR="00473ACB" w:rsidRPr="00C5029D" w:rsidRDefault="00473ACB" w:rsidP="00473ACB">
            <w:pPr>
              <w:spacing w:beforeLines="60" w:before="144" w:afterLines="60" w:after="144"/>
              <w:rPr>
                <w:rFonts w:cs="Arial"/>
                <w:color w:val="auto"/>
                <w:sz w:val="22"/>
                <w:szCs w:val="22"/>
              </w:rPr>
            </w:pPr>
            <w:r w:rsidRPr="00C5029D">
              <w:rPr>
                <w:rFonts w:cs="Arial"/>
                <w:color w:val="auto"/>
                <w:sz w:val="22"/>
                <w:szCs w:val="22"/>
              </w:rPr>
              <w:t>Response</w:t>
            </w:r>
            <w:r>
              <w:rPr>
                <w:rFonts w:cs="Arial"/>
                <w:color w:val="auto"/>
                <w:sz w:val="22"/>
                <w:szCs w:val="22"/>
              </w:rPr>
              <w:t>, Homeless Oxfordshire</w:t>
            </w:r>
          </w:p>
        </w:tc>
        <w:tc>
          <w:tcPr>
            <w:tcW w:w="1422" w:type="dxa"/>
            <w:tcBorders>
              <w:top w:val="nil"/>
              <w:left w:val="nil"/>
              <w:bottom w:val="single" w:sz="4" w:space="0" w:color="auto"/>
              <w:right w:val="single" w:sz="4" w:space="0" w:color="auto"/>
            </w:tcBorders>
            <w:vAlign w:val="center"/>
          </w:tcPr>
          <w:p w:rsidR="00473ACB" w:rsidRPr="00C5029D" w:rsidRDefault="00473ACB" w:rsidP="00473ACB">
            <w:pPr>
              <w:spacing w:beforeLines="60" w:before="144" w:afterLines="60" w:after="144"/>
              <w:jc w:val="center"/>
              <w:rPr>
                <w:rFonts w:cs="Arial"/>
                <w:color w:val="auto"/>
                <w:sz w:val="22"/>
                <w:szCs w:val="22"/>
              </w:rPr>
            </w:pPr>
            <w:r w:rsidRPr="00C5029D">
              <w:rPr>
                <w:rFonts w:cs="Arial"/>
                <w:color w:val="auto"/>
                <w:sz w:val="22"/>
                <w:szCs w:val="22"/>
              </w:rPr>
              <w:t>£59,750</w:t>
            </w:r>
          </w:p>
        </w:tc>
        <w:tc>
          <w:tcPr>
            <w:tcW w:w="1373" w:type="dxa"/>
            <w:tcBorders>
              <w:top w:val="single" w:sz="4" w:space="0" w:color="auto"/>
              <w:left w:val="single" w:sz="4" w:space="0" w:color="auto"/>
              <w:bottom w:val="single" w:sz="4" w:space="0" w:color="auto"/>
              <w:right w:val="single" w:sz="4" w:space="0" w:color="auto"/>
            </w:tcBorders>
            <w:vAlign w:val="center"/>
          </w:tcPr>
          <w:p w:rsidR="00473ACB" w:rsidRPr="00C5029D" w:rsidRDefault="00473ACB" w:rsidP="00473ACB">
            <w:pPr>
              <w:spacing w:beforeLines="60" w:before="144" w:afterLines="60" w:after="144"/>
              <w:jc w:val="center"/>
              <w:rPr>
                <w:rFonts w:cs="Arial"/>
                <w:color w:val="auto"/>
                <w:sz w:val="22"/>
                <w:szCs w:val="22"/>
              </w:rPr>
            </w:pPr>
            <w:r w:rsidRPr="00C5029D">
              <w:rPr>
                <w:rFonts w:cs="Arial"/>
                <w:color w:val="FF0000"/>
                <w:sz w:val="22"/>
                <w:szCs w:val="22"/>
              </w:rPr>
              <w:t>£38,378</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473ACB" w:rsidRPr="00473ACB" w:rsidRDefault="00473ACB" w:rsidP="00473ACB">
            <w:pPr>
              <w:spacing w:beforeLines="60" w:before="144" w:afterLines="60" w:after="144"/>
              <w:rPr>
                <w:rFonts w:cs="Arial"/>
                <w:color w:val="auto"/>
                <w:sz w:val="22"/>
                <w:szCs w:val="22"/>
              </w:rPr>
            </w:pPr>
            <w:r w:rsidRPr="00473ACB">
              <w:rPr>
                <w:rFonts w:cs="Arial"/>
                <w:color w:val="auto"/>
                <w:sz w:val="22"/>
                <w:szCs w:val="22"/>
              </w:rPr>
              <w:t xml:space="preserve">Funding was allocated from reserves in 2018/19 to fund the expansion of the Acacia project by 5 additional units of specialist supported housing units for people with complex needs. </w:t>
            </w:r>
          </w:p>
          <w:p w:rsidR="00473ACB" w:rsidRDefault="00473ACB" w:rsidP="00473ACB">
            <w:pPr>
              <w:spacing w:beforeLines="60" w:before="144" w:afterLines="60" w:after="144"/>
              <w:rPr>
                <w:rFonts w:cs="Arial"/>
                <w:color w:val="auto"/>
                <w:sz w:val="22"/>
                <w:szCs w:val="22"/>
              </w:rPr>
            </w:pPr>
            <w:r w:rsidRPr="00473ACB">
              <w:rPr>
                <w:rFonts w:cs="Arial"/>
                <w:color w:val="auto"/>
                <w:sz w:val="22"/>
                <w:szCs w:val="22"/>
              </w:rPr>
              <w:t xml:space="preserve">Although the </w:t>
            </w:r>
            <w:r>
              <w:rPr>
                <w:rFonts w:cs="Arial"/>
                <w:color w:val="auto"/>
                <w:sz w:val="22"/>
                <w:szCs w:val="22"/>
              </w:rPr>
              <w:t>allocation</w:t>
            </w:r>
            <w:r w:rsidRPr="00473ACB">
              <w:rPr>
                <w:rFonts w:cs="Arial"/>
                <w:color w:val="auto"/>
                <w:sz w:val="22"/>
                <w:szCs w:val="22"/>
              </w:rPr>
              <w:t xml:space="preserve"> mirrored that of the existing </w:t>
            </w:r>
            <w:r>
              <w:rPr>
                <w:rFonts w:cs="Arial"/>
                <w:color w:val="auto"/>
                <w:sz w:val="22"/>
                <w:szCs w:val="22"/>
              </w:rPr>
              <w:t xml:space="preserve">5 </w:t>
            </w:r>
            <w:r w:rsidRPr="00473ACB">
              <w:rPr>
                <w:rFonts w:cs="Arial"/>
                <w:color w:val="auto"/>
                <w:sz w:val="22"/>
                <w:szCs w:val="22"/>
              </w:rPr>
              <w:t xml:space="preserve">Acacia unit costs, </w:t>
            </w:r>
            <w:r>
              <w:rPr>
                <w:rFonts w:cs="Arial"/>
                <w:color w:val="auto"/>
                <w:sz w:val="22"/>
                <w:szCs w:val="22"/>
              </w:rPr>
              <w:t xml:space="preserve">in the event </w:t>
            </w:r>
            <w:r w:rsidRPr="00473ACB">
              <w:rPr>
                <w:rFonts w:cs="Arial"/>
                <w:color w:val="auto"/>
                <w:sz w:val="22"/>
                <w:szCs w:val="22"/>
              </w:rPr>
              <w:t xml:space="preserve">the number of </w:t>
            </w:r>
            <w:r>
              <w:rPr>
                <w:rFonts w:cs="Arial"/>
                <w:color w:val="auto"/>
                <w:sz w:val="22"/>
                <w:szCs w:val="22"/>
              </w:rPr>
              <w:t xml:space="preserve">places in the scheme could only be increased, progressively, up to a total of 8 units </w:t>
            </w:r>
            <w:r w:rsidRPr="00473ACB">
              <w:rPr>
                <w:rFonts w:cs="Arial"/>
                <w:color w:val="auto"/>
                <w:sz w:val="22"/>
                <w:szCs w:val="22"/>
              </w:rPr>
              <w:t>(</w:t>
            </w:r>
            <w:r>
              <w:rPr>
                <w:rFonts w:cs="Arial"/>
                <w:color w:val="auto"/>
                <w:sz w:val="22"/>
                <w:szCs w:val="22"/>
              </w:rPr>
              <w:t>t</w:t>
            </w:r>
            <w:r w:rsidRPr="00473ACB">
              <w:rPr>
                <w:rFonts w:cs="Arial"/>
                <w:color w:val="auto"/>
                <w:sz w:val="22"/>
                <w:szCs w:val="22"/>
              </w:rPr>
              <w:t xml:space="preserve">he existing 5 </w:t>
            </w:r>
            <w:r>
              <w:rPr>
                <w:rFonts w:cs="Arial"/>
                <w:color w:val="auto"/>
                <w:sz w:val="22"/>
                <w:szCs w:val="22"/>
              </w:rPr>
              <w:t>unit plus 3 additional units</w:t>
            </w:r>
            <w:r w:rsidRPr="00473ACB">
              <w:rPr>
                <w:rFonts w:cs="Arial"/>
                <w:color w:val="auto"/>
                <w:sz w:val="22"/>
                <w:szCs w:val="22"/>
              </w:rPr>
              <w:t xml:space="preserve">). </w:t>
            </w:r>
            <w:r>
              <w:rPr>
                <w:rFonts w:cs="Arial"/>
                <w:color w:val="auto"/>
                <w:sz w:val="22"/>
                <w:szCs w:val="22"/>
              </w:rPr>
              <w:t>Due to complex negotiations with the providers, the</w:t>
            </w:r>
            <w:r w:rsidRPr="00473ACB">
              <w:rPr>
                <w:rFonts w:cs="Arial"/>
                <w:color w:val="auto"/>
                <w:sz w:val="22"/>
                <w:szCs w:val="22"/>
              </w:rPr>
              <w:t xml:space="preserve"> expansion </w:t>
            </w:r>
            <w:r>
              <w:rPr>
                <w:rFonts w:cs="Arial"/>
                <w:color w:val="auto"/>
                <w:sz w:val="22"/>
                <w:szCs w:val="22"/>
              </w:rPr>
              <w:t>of capacity has been progressive (currently a total of 7 units are in place with the 8</w:t>
            </w:r>
            <w:r w:rsidRPr="00473ACB">
              <w:rPr>
                <w:rFonts w:cs="Arial"/>
                <w:color w:val="auto"/>
                <w:sz w:val="22"/>
                <w:szCs w:val="22"/>
                <w:vertAlign w:val="superscript"/>
              </w:rPr>
              <w:t>th</w:t>
            </w:r>
            <w:r>
              <w:rPr>
                <w:rFonts w:cs="Arial"/>
                <w:color w:val="auto"/>
                <w:sz w:val="22"/>
                <w:szCs w:val="22"/>
              </w:rPr>
              <w:t xml:space="preserve"> unit expected to come online shortly) and the forecast spending reflects this gradual increase. </w:t>
            </w:r>
          </w:p>
          <w:p w:rsidR="00473ACB" w:rsidRPr="00473ACB" w:rsidRDefault="00473ACB" w:rsidP="00473ACB">
            <w:pPr>
              <w:spacing w:beforeLines="60" w:before="144" w:afterLines="60" w:after="144"/>
              <w:rPr>
                <w:rFonts w:cs="Arial"/>
                <w:color w:val="auto"/>
                <w:sz w:val="22"/>
                <w:szCs w:val="22"/>
              </w:rPr>
            </w:pPr>
            <w:r w:rsidRPr="00473ACB">
              <w:rPr>
                <w:rFonts w:cs="Arial"/>
                <w:color w:val="auto"/>
                <w:sz w:val="22"/>
                <w:szCs w:val="22"/>
              </w:rPr>
              <w:t xml:space="preserve">This </w:t>
            </w:r>
            <w:r>
              <w:rPr>
                <w:rFonts w:cs="Arial"/>
                <w:color w:val="auto"/>
                <w:sz w:val="22"/>
                <w:szCs w:val="22"/>
              </w:rPr>
              <w:t>was because the service providers Response and Homeless Oxfordshire felt that staffing resources for the project would be st</w:t>
            </w:r>
            <w:r w:rsidRPr="00473ACB">
              <w:rPr>
                <w:rFonts w:cs="Arial"/>
                <w:color w:val="auto"/>
                <w:sz w:val="22"/>
                <w:szCs w:val="22"/>
              </w:rPr>
              <w:t xml:space="preserve">retched </w:t>
            </w:r>
            <w:r>
              <w:rPr>
                <w:rFonts w:cs="Arial"/>
                <w:color w:val="auto"/>
                <w:sz w:val="22"/>
                <w:szCs w:val="22"/>
              </w:rPr>
              <w:t xml:space="preserve">to far by a larger expansion, creating risk for the individual and other service users. </w:t>
            </w:r>
          </w:p>
        </w:tc>
      </w:tr>
      <w:tr w:rsidR="00C5029D" w:rsidRPr="00C5029D" w:rsidTr="006054FE">
        <w:trPr>
          <w:trHeight w:val="110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Project 41</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Homeless Oxfordshire</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£150,000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£150,000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41 units of supported accommodation for rough sleepers and single homeless people with a connection to the City of Oxford. Provision for medium to low support needs with a focus on support to enable residents to move on to and sustain independent accommodation. </w:t>
            </w:r>
          </w:p>
        </w:tc>
      </w:tr>
      <w:tr w:rsidR="00C5029D" w:rsidRPr="00C5029D" w:rsidTr="006054FE">
        <w:trPr>
          <w:trHeight w:val="132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SIMON HOUSE - Transitional service Q1 2019/20 22 units complex needs</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A2Dominion</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£50,000 </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E22841">
            <w:pPr>
              <w:spacing w:beforeLines="60" w:before="144" w:afterLines="60" w:after="144"/>
              <w:jc w:val="center"/>
              <w:rPr>
                <w:rFonts w:cs="Arial"/>
                <w:color w:val="auto"/>
                <w:sz w:val="22"/>
                <w:szCs w:val="22"/>
              </w:rPr>
            </w:pPr>
            <w:r w:rsidRPr="00E22841">
              <w:rPr>
                <w:rFonts w:cs="Arial"/>
                <w:color w:val="FF0000"/>
                <w:sz w:val="22"/>
                <w:szCs w:val="22"/>
              </w:rPr>
              <w:t>£</w:t>
            </w:r>
            <w:r w:rsidR="00E22841" w:rsidRPr="00E22841">
              <w:rPr>
                <w:rFonts w:cs="Arial"/>
                <w:color w:val="FF0000"/>
                <w:sz w:val="22"/>
                <w:szCs w:val="22"/>
              </w:rPr>
              <w:t>83,333</w:t>
            </w:r>
            <w:r w:rsidRPr="00E22841">
              <w:rPr>
                <w:rFonts w:cs="Arial"/>
                <w:color w:val="FF0000"/>
                <w:sz w:val="22"/>
                <w:szCs w:val="22"/>
              </w:rPr>
              <w:t> </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E22841">
            <w:pPr>
              <w:spacing w:beforeLines="60" w:before="144" w:afterLines="60" w:after="144"/>
              <w:rPr>
                <w:rFonts w:cs="Arial"/>
                <w:color w:val="auto"/>
                <w:sz w:val="22"/>
                <w:szCs w:val="22"/>
              </w:rPr>
            </w:pPr>
            <w:r w:rsidRPr="00C5029D">
              <w:rPr>
                <w:rFonts w:cs="Arial"/>
                <w:color w:val="auto"/>
                <w:sz w:val="22"/>
                <w:szCs w:val="22"/>
              </w:rPr>
              <w:t xml:space="preserve">Funding </w:t>
            </w:r>
            <w:r w:rsidR="00E22841">
              <w:rPr>
                <w:rFonts w:cs="Arial"/>
                <w:color w:val="auto"/>
                <w:sz w:val="22"/>
                <w:szCs w:val="22"/>
              </w:rPr>
              <w:t xml:space="preserve">was originally allocated to cover the cost of providing </w:t>
            </w:r>
            <w:r w:rsidRPr="00C5029D">
              <w:rPr>
                <w:rFonts w:cs="Arial"/>
                <w:color w:val="auto"/>
                <w:sz w:val="22"/>
                <w:szCs w:val="22"/>
              </w:rPr>
              <w:t>a transitional service of up to 22 units of supported accommodation at Simon House for people with complex needs and a connection to Oxford City for Q1 2019/20</w:t>
            </w:r>
            <w:r w:rsidR="00E22841">
              <w:rPr>
                <w:rFonts w:cs="Arial"/>
                <w:color w:val="auto"/>
                <w:sz w:val="22"/>
                <w:szCs w:val="22"/>
              </w:rPr>
              <w:t xml:space="preserve">, whilst the new facility at </w:t>
            </w:r>
            <w:proofErr w:type="spellStart"/>
            <w:r w:rsidR="00E22841">
              <w:rPr>
                <w:rFonts w:cs="Arial"/>
                <w:color w:val="auto"/>
                <w:sz w:val="22"/>
                <w:szCs w:val="22"/>
              </w:rPr>
              <w:t>Rymer</w:t>
            </w:r>
            <w:r w:rsidR="004A35C5">
              <w:rPr>
                <w:rFonts w:cs="Arial"/>
                <w:color w:val="auto"/>
                <w:sz w:val="22"/>
                <w:szCs w:val="22"/>
              </w:rPr>
              <w:t>’</w:t>
            </w:r>
            <w:r w:rsidR="00E22841">
              <w:rPr>
                <w:rFonts w:cs="Arial"/>
                <w:color w:val="auto"/>
                <w:sz w:val="22"/>
                <w:szCs w:val="22"/>
              </w:rPr>
              <w:t>s</w:t>
            </w:r>
            <w:proofErr w:type="spellEnd"/>
            <w:r w:rsidR="00E22841">
              <w:rPr>
                <w:rFonts w:cs="Arial"/>
                <w:color w:val="auto"/>
                <w:sz w:val="22"/>
                <w:szCs w:val="22"/>
              </w:rPr>
              <w:t xml:space="preserve"> Lane, [Matilda House] was being completed. In the event, the opening of Matilda House was delayed until September 2019, and so the cost of continuing to provide the service at Simon House in the meantime is greater than the original allocation.</w:t>
            </w:r>
          </w:p>
        </w:tc>
      </w:tr>
      <w:tr w:rsidR="00C5029D" w:rsidRPr="00C5029D" w:rsidTr="006054FE">
        <w:trPr>
          <w:trHeight w:val="1423"/>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DC2444" w:rsidP="00C5029D">
            <w:pPr>
              <w:spacing w:beforeLines="60" w:before="144" w:afterLines="60" w:after="144"/>
              <w:rPr>
                <w:rFonts w:cs="Arial"/>
                <w:color w:val="auto"/>
                <w:sz w:val="22"/>
                <w:szCs w:val="22"/>
              </w:rPr>
            </w:pPr>
            <w:r>
              <w:rPr>
                <w:rFonts w:cs="Arial"/>
                <w:color w:val="auto"/>
                <w:sz w:val="22"/>
                <w:szCs w:val="22"/>
              </w:rPr>
              <w:lastRenderedPageBreak/>
              <w:t>Matilda House [</w:t>
            </w:r>
            <w:r w:rsidR="00C5029D" w:rsidRPr="00C5029D">
              <w:rPr>
                <w:rFonts w:cs="Arial"/>
                <w:color w:val="auto"/>
                <w:sz w:val="22"/>
                <w:szCs w:val="22"/>
              </w:rPr>
              <w:t>RYMERS LANE</w:t>
            </w:r>
            <w:r>
              <w:rPr>
                <w:rFonts w:cs="Arial"/>
                <w:color w:val="auto"/>
                <w:sz w:val="22"/>
                <w:szCs w:val="22"/>
              </w:rPr>
              <w:t>]</w:t>
            </w:r>
            <w:r w:rsidR="00C5029D" w:rsidRPr="00C5029D">
              <w:rPr>
                <w:rFonts w:cs="Arial"/>
                <w:color w:val="auto"/>
                <w:sz w:val="22"/>
                <w:szCs w:val="22"/>
              </w:rPr>
              <w:t xml:space="preserve"> - Transitional service 22 units complex needs from Q2 2019/20</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A2Dominion</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jc w:val="center"/>
              <w:rPr>
                <w:rFonts w:cs="Arial"/>
                <w:color w:val="auto"/>
                <w:sz w:val="22"/>
                <w:szCs w:val="22"/>
              </w:rPr>
            </w:pPr>
            <w:r w:rsidRPr="00C5029D">
              <w:rPr>
                <w:rFonts w:cs="Arial"/>
                <w:sz w:val="22"/>
                <w:szCs w:val="22"/>
              </w:rPr>
              <w:t>£168,750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E22841">
            <w:pPr>
              <w:jc w:val="center"/>
              <w:rPr>
                <w:rFonts w:cs="Arial"/>
                <w:color w:val="auto"/>
                <w:sz w:val="22"/>
                <w:szCs w:val="22"/>
              </w:rPr>
            </w:pPr>
            <w:r w:rsidRPr="00C5029D">
              <w:rPr>
                <w:rFonts w:cs="Arial"/>
                <w:sz w:val="22"/>
                <w:szCs w:val="22"/>
              </w:rPr>
              <w:t>£</w:t>
            </w:r>
            <w:r w:rsidR="00E22841">
              <w:rPr>
                <w:rFonts w:cs="Arial"/>
                <w:sz w:val="22"/>
                <w:szCs w:val="22"/>
              </w:rPr>
              <w:t>131,250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DC2444">
            <w:pPr>
              <w:spacing w:beforeLines="60" w:before="144" w:afterLines="60" w:after="144"/>
              <w:rPr>
                <w:rFonts w:cs="Arial"/>
                <w:color w:val="auto"/>
                <w:sz w:val="22"/>
                <w:szCs w:val="22"/>
              </w:rPr>
            </w:pPr>
            <w:r w:rsidRPr="00C5029D">
              <w:rPr>
                <w:rFonts w:cs="Arial"/>
                <w:color w:val="auto"/>
                <w:sz w:val="22"/>
                <w:szCs w:val="22"/>
              </w:rPr>
              <w:t>Funding for 22 units of supported accommodation for people with complex needs and 15 units move on accommodation. The new facility open</w:t>
            </w:r>
            <w:r w:rsidR="00DC2444">
              <w:rPr>
                <w:rFonts w:cs="Arial"/>
                <w:color w:val="auto"/>
                <w:sz w:val="22"/>
                <w:szCs w:val="22"/>
              </w:rPr>
              <w:t>ed 2</w:t>
            </w:r>
            <w:r w:rsidR="00DC2444" w:rsidRPr="00DC2444">
              <w:rPr>
                <w:rFonts w:cs="Arial"/>
                <w:color w:val="auto"/>
                <w:sz w:val="22"/>
                <w:szCs w:val="22"/>
                <w:vertAlign w:val="superscript"/>
              </w:rPr>
              <w:t>nd</w:t>
            </w:r>
            <w:r w:rsidR="00DC2444">
              <w:rPr>
                <w:rFonts w:cs="Arial"/>
                <w:color w:val="auto"/>
                <w:sz w:val="22"/>
                <w:szCs w:val="22"/>
              </w:rPr>
              <w:t xml:space="preserve"> September 2019.</w:t>
            </w:r>
          </w:p>
        </w:tc>
      </w:tr>
      <w:tr w:rsidR="00C5029D" w:rsidRPr="00C5029D" w:rsidTr="006054FE">
        <w:trPr>
          <w:trHeight w:val="1118"/>
        </w:trPr>
        <w:tc>
          <w:tcPr>
            <w:tcW w:w="2835" w:type="dxa"/>
            <w:tcBorders>
              <w:top w:val="nil"/>
              <w:left w:val="single" w:sz="4" w:space="0" w:color="auto"/>
              <w:bottom w:val="single" w:sz="4" w:space="0" w:color="auto"/>
              <w:right w:val="single" w:sz="4" w:space="0" w:color="auto"/>
            </w:tcBorders>
            <w:shd w:val="clear" w:color="auto" w:fill="auto"/>
            <w:vAlign w:val="center"/>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Mayday Trust 10 units</w:t>
            </w:r>
          </w:p>
        </w:tc>
        <w:tc>
          <w:tcPr>
            <w:tcW w:w="2171" w:type="dxa"/>
            <w:tcBorders>
              <w:top w:val="nil"/>
              <w:left w:val="nil"/>
              <w:bottom w:val="single" w:sz="4" w:space="0" w:color="auto"/>
              <w:right w:val="single" w:sz="4" w:space="0" w:color="auto"/>
            </w:tcBorders>
            <w:shd w:val="clear" w:color="auto" w:fill="auto"/>
            <w:noWrap/>
            <w:vAlign w:val="center"/>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Mayday Trust</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£39,272</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£39,272</w:t>
            </w:r>
          </w:p>
        </w:tc>
        <w:tc>
          <w:tcPr>
            <w:tcW w:w="6766" w:type="dxa"/>
            <w:tcBorders>
              <w:top w:val="nil"/>
              <w:left w:val="single" w:sz="4" w:space="0" w:color="auto"/>
              <w:bottom w:val="single" w:sz="4" w:space="0" w:color="auto"/>
              <w:right w:val="single" w:sz="4" w:space="0" w:color="auto"/>
            </w:tcBorders>
            <w:shd w:val="clear" w:color="auto" w:fill="auto"/>
            <w:noWrap/>
            <w:vAlign w:val="center"/>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10 units of supported accommodation for people with complex needs, in dispersed locations. This allocation will retain these units of supported accommodation for rough sleepers and single homeless people which would otherwise have closed as a result of County Council funding cuts.  </w:t>
            </w:r>
          </w:p>
        </w:tc>
      </w:tr>
      <w:tr w:rsidR="00C5029D" w:rsidRPr="00C5029D" w:rsidTr="006054FE">
        <w:trPr>
          <w:trHeight w:val="111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Severe Weather Beds - various</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Various including Homeless Oxfordshire, St Mungo's, Aspire, A2Dominion</w:t>
            </w:r>
          </w:p>
        </w:tc>
        <w:tc>
          <w:tcPr>
            <w:tcW w:w="1422" w:type="dxa"/>
            <w:tcBorders>
              <w:top w:val="nil"/>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£30,000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31529F">
            <w:pPr>
              <w:spacing w:beforeLines="60" w:before="144" w:afterLines="60" w:after="144"/>
              <w:jc w:val="center"/>
              <w:rPr>
                <w:rFonts w:cs="Arial"/>
                <w:color w:val="auto"/>
                <w:sz w:val="22"/>
                <w:szCs w:val="22"/>
              </w:rPr>
            </w:pPr>
            <w:r w:rsidRPr="0031529F">
              <w:rPr>
                <w:rFonts w:cs="Arial"/>
                <w:color w:val="FF0000"/>
                <w:sz w:val="22"/>
                <w:szCs w:val="22"/>
              </w:rPr>
              <w:t>£</w:t>
            </w:r>
            <w:r w:rsidR="0031529F" w:rsidRPr="0031529F">
              <w:rPr>
                <w:rFonts w:cs="Arial"/>
                <w:color w:val="FF0000"/>
                <w:sz w:val="22"/>
                <w:szCs w:val="22"/>
              </w:rPr>
              <w:t>50,294</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31529F"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to provide additional emergency bed spaces in periods of severe weather for all rough sleepers who need them. </w:t>
            </w:r>
          </w:p>
          <w:p w:rsidR="00C5029D" w:rsidRDefault="0031529F" w:rsidP="00C5029D">
            <w:pPr>
              <w:spacing w:beforeLines="60" w:before="144" w:afterLines="60" w:after="144"/>
              <w:rPr>
                <w:sz w:val="22"/>
                <w:szCs w:val="22"/>
              </w:rPr>
            </w:pPr>
            <w:r w:rsidRPr="0031529F">
              <w:rPr>
                <w:rFonts w:cs="Arial"/>
                <w:color w:val="auto"/>
                <w:sz w:val="22"/>
                <w:szCs w:val="22"/>
              </w:rPr>
              <w:t>Spending is forecast to be higher than the original allocation as a result of changes to how SWEP operates. S</w:t>
            </w:r>
            <w:r w:rsidRPr="0031529F">
              <w:rPr>
                <w:sz w:val="22"/>
                <w:szCs w:val="22"/>
              </w:rPr>
              <w:t xml:space="preserve">WEP is now opening every time the temperature falls to zero degrees Celsius or below, </w:t>
            </w:r>
            <w:r>
              <w:rPr>
                <w:sz w:val="22"/>
                <w:szCs w:val="22"/>
              </w:rPr>
              <w:t xml:space="preserve">and </w:t>
            </w:r>
            <w:r w:rsidRPr="0031529F">
              <w:rPr>
                <w:sz w:val="22"/>
                <w:szCs w:val="22"/>
              </w:rPr>
              <w:t xml:space="preserve">it is </w:t>
            </w:r>
            <w:r>
              <w:rPr>
                <w:sz w:val="22"/>
                <w:szCs w:val="22"/>
              </w:rPr>
              <w:t xml:space="preserve">therefore </w:t>
            </w:r>
            <w:r w:rsidRPr="0031529F">
              <w:rPr>
                <w:sz w:val="22"/>
                <w:szCs w:val="22"/>
              </w:rPr>
              <w:t>likely that the service will be open for longer than in previous years.</w:t>
            </w:r>
            <w:r>
              <w:rPr>
                <w:sz w:val="22"/>
                <w:szCs w:val="22"/>
              </w:rPr>
              <w:t xml:space="preserve"> The forecast spend reflects officers’ estimate of the what it will cost to operate SWEP for a total of 30 nights over the winter, including putting in place more rob</w:t>
            </w:r>
            <w:r w:rsidRPr="0031529F">
              <w:rPr>
                <w:sz w:val="22"/>
                <w:szCs w:val="22"/>
              </w:rPr>
              <w:t xml:space="preserve">ust staffing arrangements </w:t>
            </w:r>
            <w:r>
              <w:rPr>
                <w:sz w:val="22"/>
                <w:szCs w:val="22"/>
              </w:rPr>
              <w:t>at O’Hanlon House to enable same day / night activation of SWEP.</w:t>
            </w:r>
          </w:p>
          <w:p w:rsidR="00C5029D" w:rsidRPr="00C5029D" w:rsidRDefault="0031529F" w:rsidP="00A100F1">
            <w:pPr>
              <w:spacing w:beforeLines="60" w:before="144" w:afterLines="60" w:after="144"/>
              <w:rPr>
                <w:rFonts w:cs="Arial"/>
                <w:color w:val="auto"/>
                <w:sz w:val="22"/>
                <w:szCs w:val="22"/>
              </w:rPr>
            </w:pPr>
            <w:r>
              <w:rPr>
                <w:sz w:val="22"/>
                <w:szCs w:val="22"/>
              </w:rPr>
              <w:t>The increased sum also includes £8,112 towards the cost of delivering SWEP in 2018/19 which was invoiced late by the provider and therefore not accrued</w:t>
            </w:r>
            <w:r w:rsidR="00A100F1">
              <w:rPr>
                <w:sz w:val="22"/>
                <w:szCs w:val="22"/>
              </w:rPr>
              <w:t>.</w:t>
            </w:r>
          </w:p>
        </w:tc>
      </w:tr>
      <w:tr w:rsidR="00C5029D" w:rsidRPr="00C5029D" w:rsidTr="006054FE">
        <w:trPr>
          <w:trHeight w:val="547"/>
        </w:trPr>
        <w:tc>
          <w:tcPr>
            <w:tcW w:w="2835" w:type="dxa"/>
            <w:tcBorders>
              <w:top w:val="nil"/>
              <w:left w:val="single" w:sz="4" w:space="0" w:color="auto"/>
              <w:bottom w:val="single" w:sz="4" w:space="0" w:color="auto"/>
              <w:right w:val="single" w:sz="4" w:space="0" w:color="auto"/>
            </w:tcBorders>
            <w:shd w:val="clear" w:color="000000" w:fill="B1A0C7"/>
            <w:vAlign w:val="center"/>
            <w:hideMark/>
          </w:tcPr>
          <w:p w:rsidR="00C5029D" w:rsidRPr="00C5029D" w:rsidRDefault="00C5029D" w:rsidP="00C5029D">
            <w:pPr>
              <w:spacing w:beforeLines="60" w:before="144" w:afterLines="60" w:after="144"/>
              <w:jc w:val="center"/>
              <w:rPr>
                <w:rFonts w:cs="Arial"/>
                <w:b/>
                <w:bCs/>
                <w:color w:val="FFFFFF"/>
                <w:sz w:val="22"/>
                <w:szCs w:val="22"/>
              </w:rPr>
            </w:pPr>
            <w:r w:rsidRPr="00C5029D">
              <w:rPr>
                <w:rFonts w:cs="Arial"/>
                <w:b/>
                <w:bCs/>
                <w:color w:val="FFFFFF"/>
                <w:sz w:val="22"/>
                <w:szCs w:val="22"/>
              </w:rPr>
              <w:t>Street Engagement</w:t>
            </w:r>
          </w:p>
        </w:tc>
        <w:tc>
          <w:tcPr>
            <w:tcW w:w="2171" w:type="dxa"/>
            <w:tcBorders>
              <w:top w:val="nil"/>
              <w:left w:val="nil"/>
              <w:bottom w:val="single" w:sz="4" w:space="0" w:color="auto"/>
              <w:right w:val="single" w:sz="4" w:space="0" w:color="auto"/>
            </w:tcBorders>
            <w:shd w:val="clear" w:color="000000" w:fill="B1A0C7"/>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B1A0C7"/>
            <w:vAlign w:val="center"/>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£398,393</w:t>
            </w:r>
          </w:p>
        </w:tc>
        <w:tc>
          <w:tcPr>
            <w:tcW w:w="1373" w:type="dxa"/>
            <w:tcBorders>
              <w:top w:val="single" w:sz="4" w:space="0" w:color="auto"/>
              <w:left w:val="single" w:sz="4" w:space="0" w:color="auto"/>
              <w:bottom w:val="single" w:sz="4" w:space="0" w:color="auto"/>
              <w:right w:val="single" w:sz="4" w:space="0" w:color="auto"/>
            </w:tcBorders>
            <w:shd w:val="clear" w:color="000000" w:fill="B1A0C7"/>
            <w:vAlign w:val="center"/>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£398,393</w:t>
            </w:r>
          </w:p>
        </w:tc>
        <w:tc>
          <w:tcPr>
            <w:tcW w:w="6766" w:type="dxa"/>
            <w:tcBorders>
              <w:top w:val="nil"/>
              <w:left w:val="single" w:sz="4" w:space="0" w:color="auto"/>
              <w:bottom w:val="single" w:sz="4" w:space="0" w:color="auto"/>
              <w:right w:val="single" w:sz="4" w:space="0" w:color="auto"/>
            </w:tcBorders>
            <w:shd w:val="clear" w:color="000000" w:fill="B1A0C7"/>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170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A100F1">
            <w:pPr>
              <w:spacing w:beforeLines="60" w:before="144" w:afterLines="60" w:after="144"/>
              <w:rPr>
                <w:rFonts w:cs="Arial"/>
                <w:color w:val="auto"/>
                <w:sz w:val="22"/>
                <w:szCs w:val="22"/>
              </w:rPr>
            </w:pPr>
            <w:r w:rsidRPr="00C5029D">
              <w:rPr>
                <w:rFonts w:cs="Arial"/>
                <w:color w:val="auto"/>
                <w:sz w:val="22"/>
                <w:szCs w:val="22"/>
              </w:rPr>
              <w:lastRenderedPageBreak/>
              <w:t xml:space="preserve">Street Outreach and Single Homeless Service </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St Mungo's</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£350,893</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£350,893</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A100F1" w:rsidRPr="00A100F1" w:rsidRDefault="00C5029D" w:rsidP="00C5029D">
            <w:pPr>
              <w:spacing w:beforeLines="60" w:before="144" w:afterLines="60" w:after="144"/>
              <w:rPr>
                <w:rFonts w:cs="Arial"/>
                <w:color w:val="auto"/>
                <w:sz w:val="22"/>
                <w:szCs w:val="22"/>
              </w:rPr>
            </w:pPr>
            <w:r w:rsidRPr="00A100F1">
              <w:rPr>
                <w:rFonts w:cs="Arial"/>
                <w:color w:val="auto"/>
                <w:sz w:val="22"/>
                <w:szCs w:val="22"/>
              </w:rPr>
              <w:t>Funding for a team of 9 FTE to deliver an assertive outreach, reconnection, personalisation and advice service for rough sleepers and single homeless people. The team helps rough sleepers to access suitable accommodation and support in the City, Oxfordshire and elsewhere with the aim of reducing the number of people who spend a second night on the street, live on or return to the streets. Capacity increased in 2018/19 and 2019/20 as a result of the Council being awarded RSI [Rough Sleeping Initiative] funding.</w:t>
            </w:r>
          </w:p>
          <w:p w:rsidR="00A100F1" w:rsidRPr="00A100F1" w:rsidRDefault="00A100F1" w:rsidP="00A100F1">
            <w:pPr>
              <w:spacing w:beforeLines="60" w:before="144" w:afterLines="60" w:after="144"/>
              <w:rPr>
                <w:rFonts w:cs="Arial"/>
                <w:i/>
                <w:color w:val="auto"/>
                <w:sz w:val="22"/>
                <w:szCs w:val="22"/>
              </w:rPr>
            </w:pPr>
            <w:r w:rsidRPr="00A100F1">
              <w:rPr>
                <w:rFonts w:cs="Arial"/>
                <w:color w:val="auto"/>
                <w:sz w:val="22"/>
                <w:szCs w:val="22"/>
              </w:rPr>
              <w:t>From 1</w:t>
            </w:r>
            <w:r w:rsidRPr="00A100F1">
              <w:rPr>
                <w:rFonts w:cs="Arial"/>
                <w:color w:val="auto"/>
                <w:sz w:val="22"/>
                <w:szCs w:val="22"/>
                <w:vertAlign w:val="superscript"/>
              </w:rPr>
              <w:t>st</w:t>
            </w:r>
            <w:r w:rsidRPr="00A100F1">
              <w:rPr>
                <w:rFonts w:cs="Arial"/>
                <w:color w:val="auto"/>
                <w:sz w:val="22"/>
                <w:szCs w:val="22"/>
              </w:rPr>
              <w:t xml:space="preserve"> October 2019, this service has been merged into the new Engagement and Assessment Service for Single Homeless People, which will be delivered from Floyd’s Row.</w:t>
            </w:r>
          </w:p>
        </w:tc>
      </w:tr>
      <w:tr w:rsidR="00C5029D" w:rsidRPr="00C5029D" w:rsidTr="006054FE">
        <w:trPr>
          <w:trHeight w:val="121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Rough Sleeping &amp; Street activity service - TVP</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Thames Valley Police</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£30,000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£30,000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TVP City Centre Unit to provide targeted support to reduce rough sleeping through outreach, enforcement, tackling begging and anti-social behaviour. TVP City Centre Unit has a dedicated police constable for the purpose of this work. </w:t>
            </w:r>
          </w:p>
        </w:tc>
      </w:tr>
      <w:tr w:rsidR="00C5029D" w:rsidRPr="00C5029D" w:rsidTr="006054FE">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City Centre Ambassadors</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Oxford City Council</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£17,500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£17,500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The City Centre Ambassadors provide a visible presence within Oxford City Centre.  They assist people with enquiries, liaise with businesses to keep the city centre clean and litter free, and work closely with the police to spot and deter anti-social behaviour.  They engage with homeless people, referring them into the appropriate support services. </w:t>
            </w:r>
          </w:p>
        </w:tc>
      </w:tr>
      <w:tr w:rsidR="00C5029D" w:rsidRPr="00C5029D" w:rsidTr="006054FE">
        <w:trPr>
          <w:trHeight w:val="529"/>
        </w:trPr>
        <w:tc>
          <w:tcPr>
            <w:tcW w:w="2835" w:type="dxa"/>
            <w:tcBorders>
              <w:top w:val="nil"/>
              <w:left w:val="single" w:sz="4" w:space="0" w:color="auto"/>
              <w:bottom w:val="single" w:sz="4" w:space="0" w:color="auto"/>
              <w:right w:val="single" w:sz="4" w:space="0" w:color="auto"/>
            </w:tcBorders>
            <w:shd w:val="clear" w:color="000000" w:fill="8DB4E2"/>
            <w:vAlign w:val="center"/>
            <w:hideMark/>
          </w:tcPr>
          <w:p w:rsidR="00C5029D" w:rsidRPr="00C5029D" w:rsidRDefault="00C5029D" w:rsidP="00A100F1">
            <w:pPr>
              <w:spacing w:beforeLines="60" w:before="144" w:afterLines="60" w:after="144"/>
              <w:rPr>
                <w:rFonts w:cs="Arial"/>
                <w:b/>
                <w:bCs/>
                <w:color w:val="FFFFFF"/>
                <w:sz w:val="22"/>
                <w:szCs w:val="22"/>
              </w:rPr>
            </w:pPr>
            <w:r w:rsidRPr="00C5029D">
              <w:rPr>
                <w:rFonts w:cs="Arial"/>
                <w:b/>
                <w:bCs/>
                <w:color w:val="FFFFFF"/>
                <w:sz w:val="22"/>
                <w:szCs w:val="22"/>
              </w:rPr>
              <w:t>Preventing homelessness</w:t>
            </w:r>
          </w:p>
        </w:tc>
        <w:tc>
          <w:tcPr>
            <w:tcW w:w="2171" w:type="dxa"/>
            <w:tcBorders>
              <w:top w:val="nil"/>
              <w:left w:val="nil"/>
              <w:bottom w:val="single" w:sz="4" w:space="0" w:color="auto"/>
              <w:right w:val="single" w:sz="4" w:space="0" w:color="auto"/>
            </w:tcBorders>
            <w:shd w:val="clear" w:color="000000" w:fill="8DB4E2"/>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8DB4E2"/>
            <w:vAlign w:val="center"/>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£163,630</w:t>
            </w:r>
          </w:p>
        </w:tc>
        <w:tc>
          <w:tcPr>
            <w:tcW w:w="1373" w:type="dxa"/>
            <w:tcBorders>
              <w:top w:val="single" w:sz="4" w:space="0" w:color="auto"/>
              <w:left w:val="single" w:sz="4" w:space="0" w:color="auto"/>
              <w:bottom w:val="single" w:sz="4" w:space="0" w:color="auto"/>
              <w:right w:val="single" w:sz="4" w:space="0" w:color="auto"/>
            </w:tcBorders>
            <w:shd w:val="clear" w:color="000000" w:fill="8DB4E2"/>
            <w:vAlign w:val="center"/>
          </w:tcPr>
          <w:p w:rsidR="00C5029D" w:rsidRPr="00C5029D" w:rsidRDefault="006054FE" w:rsidP="00C5029D">
            <w:pPr>
              <w:spacing w:beforeLines="60" w:before="144" w:afterLines="60" w:after="144"/>
              <w:jc w:val="center"/>
              <w:rPr>
                <w:rFonts w:cs="Arial"/>
                <w:b/>
                <w:bCs/>
                <w:color w:val="auto"/>
                <w:sz w:val="22"/>
                <w:szCs w:val="22"/>
              </w:rPr>
            </w:pPr>
            <w:r>
              <w:rPr>
                <w:rFonts w:cs="Arial"/>
                <w:b/>
                <w:bCs/>
                <w:color w:val="auto"/>
                <w:sz w:val="22"/>
                <w:szCs w:val="22"/>
              </w:rPr>
              <w:t>£165,009</w:t>
            </w:r>
          </w:p>
        </w:tc>
        <w:tc>
          <w:tcPr>
            <w:tcW w:w="6766" w:type="dxa"/>
            <w:tcBorders>
              <w:top w:val="nil"/>
              <w:left w:val="single" w:sz="4" w:space="0" w:color="auto"/>
              <w:bottom w:val="single" w:sz="4" w:space="0" w:color="auto"/>
              <w:right w:val="single" w:sz="4" w:space="0" w:color="auto"/>
            </w:tcBorders>
            <w:shd w:val="clear" w:color="000000" w:fill="8DB4E2"/>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69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Tenancy Sustainment Officer - Elmore </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Elmore Community Services</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£35,630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£35,630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1 FTE specialist sustainment officer to support residents in Oxford City Council accommodation to maintain their tenancies. </w:t>
            </w:r>
          </w:p>
        </w:tc>
      </w:tr>
      <w:tr w:rsidR="00C5029D" w:rsidRPr="00C5029D" w:rsidTr="006054FE">
        <w:trPr>
          <w:trHeight w:val="56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Pre-tenancy training </w:t>
            </w:r>
            <w:r w:rsidRPr="00C5029D">
              <w:rPr>
                <w:rFonts w:cs="Arial"/>
                <w:color w:val="auto"/>
                <w:sz w:val="22"/>
                <w:szCs w:val="22"/>
              </w:rPr>
              <w:lastRenderedPageBreak/>
              <w:t>course - Connection</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lastRenderedPageBreak/>
              <w:t>Connection Support</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£16,000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£16,000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to provide courses to help 50 people develop a range of </w:t>
            </w:r>
            <w:r w:rsidRPr="00C5029D">
              <w:rPr>
                <w:rFonts w:cs="Arial"/>
                <w:color w:val="auto"/>
                <w:sz w:val="22"/>
                <w:szCs w:val="22"/>
              </w:rPr>
              <w:lastRenderedPageBreak/>
              <w:t>skills that will enable them to become tenancy ready.</w:t>
            </w:r>
          </w:p>
        </w:tc>
      </w:tr>
      <w:tr w:rsidR="00C5029D" w:rsidRPr="00C5029D" w:rsidTr="006054FE">
        <w:trPr>
          <w:trHeight w:val="7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lastRenderedPageBreak/>
              <w:t>Welfare Reform Outreach Team</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Oxford City Council</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£82,000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A100F1">
            <w:pPr>
              <w:spacing w:beforeLines="60" w:before="144" w:afterLines="60" w:after="144"/>
              <w:jc w:val="center"/>
              <w:rPr>
                <w:rFonts w:cs="Arial"/>
                <w:color w:val="auto"/>
                <w:sz w:val="22"/>
                <w:szCs w:val="22"/>
              </w:rPr>
            </w:pPr>
            <w:r w:rsidRPr="00A100F1">
              <w:rPr>
                <w:rFonts w:cs="Arial"/>
                <w:color w:val="FF0000"/>
                <w:sz w:val="22"/>
                <w:szCs w:val="22"/>
              </w:rPr>
              <w:t>£8</w:t>
            </w:r>
            <w:r w:rsidR="00A100F1">
              <w:rPr>
                <w:rFonts w:cs="Arial"/>
                <w:color w:val="FF0000"/>
                <w:sz w:val="22"/>
                <w:szCs w:val="22"/>
              </w:rPr>
              <w:t>3,379</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Default="00C5029D" w:rsidP="00C5029D">
            <w:pPr>
              <w:spacing w:beforeLines="60" w:before="144" w:afterLines="60" w:after="144"/>
              <w:rPr>
                <w:rFonts w:cs="Arial"/>
                <w:color w:val="auto"/>
                <w:sz w:val="22"/>
                <w:szCs w:val="22"/>
              </w:rPr>
            </w:pPr>
            <w:r w:rsidRPr="00C5029D">
              <w:rPr>
                <w:rFonts w:cs="Arial"/>
                <w:color w:val="auto"/>
                <w:sz w:val="22"/>
                <w:szCs w:val="22"/>
              </w:rPr>
              <w:t>Funding contribution towards the work of a team focussing on the impact of welfare reform across the City</w:t>
            </w:r>
            <w:r w:rsidR="00A100F1">
              <w:rPr>
                <w:rFonts w:cs="Arial"/>
                <w:color w:val="auto"/>
                <w:sz w:val="22"/>
                <w:szCs w:val="22"/>
              </w:rPr>
              <w:t>.</w:t>
            </w:r>
          </w:p>
          <w:p w:rsidR="00A100F1" w:rsidRDefault="00A100F1" w:rsidP="00A100F1">
            <w:pPr>
              <w:spacing w:after="0"/>
              <w:rPr>
                <w:rFonts w:cs="Arial"/>
                <w:color w:val="auto"/>
                <w:sz w:val="22"/>
                <w:szCs w:val="22"/>
              </w:rPr>
            </w:pPr>
            <w:r w:rsidRPr="00A100F1">
              <w:rPr>
                <w:rFonts w:cs="Arial"/>
                <w:color w:val="auto"/>
                <w:sz w:val="22"/>
                <w:szCs w:val="22"/>
              </w:rPr>
              <w:t xml:space="preserve">The forecast spend is slightly greater than the original allocation as a result </w:t>
            </w:r>
            <w:r>
              <w:rPr>
                <w:rFonts w:cs="Arial"/>
                <w:color w:val="auto"/>
                <w:sz w:val="22"/>
                <w:szCs w:val="22"/>
              </w:rPr>
              <w:t xml:space="preserve">due to pay inflation. For technical reasons and because the posts are paid for from this Grants Budget, pay inflation is not automatically applied, hence there is a slight overspend against the original allocation. </w:t>
            </w:r>
          </w:p>
          <w:p w:rsidR="00A100F1" w:rsidRPr="00C5029D" w:rsidRDefault="00A100F1" w:rsidP="00A100F1">
            <w:pPr>
              <w:spacing w:after="0"/>
              <w:rPr>
                <w:rFonts w:cs="Arial"/>
                <w:color w:val="auto"/>
                <w:sz w:val="22"/>
                <w:szCs w:val="22"/>
              </w:rPr>
            </w:pPr>
          </w:p>
        </w:tc>
      </w:tr>
      <w:tr w:rsidR="00C5029D" w:rsidRPr="00C5029D" w:rsidTr="006054FE">
        <w:trPr>
          <w:trHeight w:val="64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Target Hardening/Sanctuary Scheme</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Oxford City Council</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£30,000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£30,000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provided for a post in the Anti-Social Behaviour Team to support victims of domestic abuse and enable them to stay in their own homes. </w:t>
            </w:r>
          </w:p>
        </w:tc>
      </w:tr>
      <w:tr w:rsidR="00C5029D" w:rsidRPr="00C5029D" w:rsidTr="006054FE">
        <w:trPr>
          <w:trHeight w:val="730"/>
        </w:trPr>
        <w:tc>
          <w:tcPr>
            <w:tcW w:w="2835" w:type="dxa"/>
            <w:tcBorders>
              <w:top w:val="nil"/>
              <w:left w:val="single" w:sz="4" w:space="0" w:color="auto"/>
              <w:bottom w:val="single" w:sz="4" w:space="0" w:color="auto"/>
              <w:right w:val="single" w:sz="4" w:space="0" w:color="auto"/>
            </w:tcBorders>
            <w:shd w:val="clear" w:color="000000" w:fill="B7DEE8"/>
            <w:vAlign w:val="center"/>
            <w:hideMark/>
          </w:tcPr>
          <w:p w:rsidR="00C5029D" w:rsidRPr="00C5029D" w:rsidRDefault="00C5029D" w:rsidP="00C5029D">
            <w:pPr>
              <w:spacing w:beforeLines="60" w:before="144" w:afterLines="60" w:after="144"/>
              <w:rPr>
                <w:rFonts w:cs="Arial"/>
                <w:b/>
                <w:bCs/>
                <w:color w:val="auto"/>
                <w:sz w:val="22"/>
                <w:szCs w:val="22"/>
              </w:rPr>
            </w:pPr>
            <w:r w:rsidRPr="00C5029D">
              <w:rPr>
                <w:rFonts w:cs="Arial"/>
                <w:b/>
                <w:bCs/>
                <w:color w:val="auto"/>
                <w:sz w:val="22"/>
                <w:szCs w:val="22"/>
              </w:rPr>
              <w:t>Positive activities &amp; help to get into work</w:t>
            </w:r>
          </w:p>
        </w:tc>
        <w:tc>
          <w:tcPr>
            <w:tcW w:w="2171" w:type="dxa"/>
            <w:tcBorders>
              <w:top w:val="nil"/>
              <w:left w:val="nil"/>
              <w:bottom w:val="single" w:sz="4" w:space="0" w:color="auto"/>
              <w:right w:val="single" w:sz="4" w:space="0" w:color="auto"/>
            </w:tcBorders>
            <w:shd w:val="clear" w:color="000000" w:fill="B7DEE8"/>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B7DEE8"/>
            <w:vAlign w:val="center"/>
          </w:tcPr>
          <w:p w:rsidR="00C5029D" w:rsidRPr="00C5029D" w:rsidRDefault="00C5029D" w:rsidP="006054FE">
            <w:pPr>
              <w:spacing w:beforeLines="60" w:before="144" w:afterLines="60" w:after="144"/>
              <w:jc w:val="center"/>
              <w:rPr>
                <w:rFonts w:cs="Arial"/>
                <w:b/>
                <w:bCs/>
                <w:color w:val="auto"/>
                <w:sz w:val="22"/>
                <w:szCs w:val="22"/>
              </w:rPr>
            </w:pPr>
            <w:r w:rsidRPr="00C5029D">
              <w:rPr>
                <w:rFonts w:cs="Arial"/>
                <w:b/>
                <w:bCs/>
                <w:color w:val="auto"/>
                <w:sz w:val="22"/>
                <w:szCs w:val="22"/>
              </w:rPr>
              <w:t>£22</w:t>
            </w:r>
            <w:r w:rsidR="006054FE">
              <w:rPr>
                <w:rFonts w:cs="Arial"/>
                <w:b/>
                <w:bCs/>
                <w:color w:val="auto"/>
                <w:sz w:val="22"/>
                <w:szCs w:val="22"/>
              </w:rPr>
              <w:t>9</w:t>
            </w:r>
            <w:r w:rsidRPr="00C5029D">
              <w:rPr>
                <w:rFonts w:cs="Arial"/>
                <w:b/>
                <w:bCs/>
                <w:color w:val="auto"/>
                <w:sz w:val="22"/>
                <w:szCs w:val="22"/>
              </w:rPr>
              <w:t>,106</w:t>
            </w:r>
          </w:p>
        </w:tc>
        <w:tc>
          <w:tcPr>
            <w:tcW w:w="1373" w:type="dxa"/>
            <w:tcBorders>
              <w:top w:val="single" w:sz="4" w:space="0" w:color="auto"/>
              <w:left w:val="single" w:sz="4" w:space="0" w:color="auto"/>
              <w:bottom w:val="single" w:sz="4" w:space="0" w:color="auto"/>
              <w:right w:val="single" w:sz="4" w:space="0" w:color="auto"/>
            </w:tcBorders>
            <w:shd w:val="clear" w:color="000000" w:fill="B7DEE8"/>
            <w:vAlign w:val="center"/>
          </w:tcPr>
          <w:p w:rsidR="00C5029D" w:rsidRPr="00C5029D" w:rsidRDefault="00C5029D" w:rsidP="006054FE">
            <w:pPr>
              <w:spacing w:beforeLines="60" w:before="144" w:afterLines="60" w:after="144"/>
              <w:jc w:val="center"/>
              <w:rPr>
                <w:rFonts w:cs="Arial"/>
                <w:b/>
                <w:bCs/>
                <w:color w:val="auto"/>
                <w:sz w:val="22"/>
                <w:szCs w:val="22"/>
              </w:rPr>
            </w:pPr>
            <w:r w:rsidRPr="00C5029D">
              <w:rPr>
                <w:rFonts w:cs="Arial"/>
                <w:b/>
                <w:bCs/>
                <w:color w:val="auto"/>
                <w:sz w:val="22"/>
                <w:szCs w:val="22"/>
              </w:rPr>
              <w:t>£22</w:t>
            </w:r>
            <w:r w:rsidR="006054FE">
              <w:rPr>
                <w:rFonts w:cs="Arial"/>
                <w:b/>
                <w:bCs/>
                <w:color w:val="auto"/>
                <w:sz w:val="22"/>
                <w:szCs w:val="22"/>
              </w:rPr>
              <w:t>5</w:t>
            </w:r>
            <w:r w:rsidRPr="00C5029D">
              <w:rPr>
                <w:rFonts w:cs="Arial"/>
                <w:b/>
                <w:bCs/>
                <w:color w:val="auto"/>
                <w:sz w:val="22"/>
                <w:szCs w:val="22"/>
              </w:rPr>
              <w:t>,</w:t>
            </w:r>
            <w:r w:rsidR="00A06BCA">
              <w:rPr>
                <w:rFonts w:cs="Arial"/>
                <w:b/>
                <w:bCs/>
                <w:color w:val="auto"/>
                <w:sz w:val="22"/>
                <w:szCs w:val="22"/>
              </w:rPr>
              <w:t>981</w:t>
            </w:r>
          </w:p>
        </w:tc>
        <w:tc>
          <w:tcPr>
            <w:tcW w:w="6766" w:type="dxa"/>
            <w:tcBorders>
              <w:top w:val="nil"/>
              <w:left w:val="single" w:sz="4" w:space="0" w:color="auto"/>
              <w:bottom w:val="single" w:sz="4" w:space="0" w:color="auto"/>
              <w:right w:val="single" w:sz="4" w:space="0" w:color="auto"/>
            </w:tcBorders>
            <w:shd w:val="clear" w:color="000000" w:fill="B7DEE8"/>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11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O'Hanlon House Day Centre </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Homeless Oxfordshire</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£82,778</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£82,778</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Funding for provision of day services – showers and laundry facilities as well as breakfast and lunch and any other activities taking place – for individuals rough sleeping in the City and working with outreach services to access suitable accommodation.</w:t>
            </w:r>
          </w:p>
        </w:tc>
      </w:tr>
      <w:tr w:rsidR="00C5029D" w:rsidRPr="00C5029D" w:rsidTr="006054FE">
        <w:trPr>
          <w:trHeight w:val="7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Gatehouse Café</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Gatehouse</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£5,580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£5,580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Core funding for the Gatehouse café, to support and engage hard to reach clients to access accommodation and specialist support </w:t>
            </w:r>
          </w:p>
        </w:tc>
      </w:tr>
      <w:tr w:rsidR="00C5029D" w:rsidRPr="00C5029D" w:rsidTr="006054FE">
        <w:trPr>
          <w:trHeight w:val="113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The Porch Day Centre</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The Porch</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£55,000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£55,000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Core funding for The Porch (formerly known as </w:t>
            </w:r>
            <w:proofErr w:type="spellStart"/>
            <w:r w:rsidRPr="00C5029D">
              <w:rPr>
                <w:rFonts w:cs="Arial"/>
                <w:color w:val="auto"/>
                <w:sz w:val="22"/>
                <w:szCs w:val="22"/>
              </w:rPr>
              <w:t>Steppin</w:t>
            </w:r>
            <w:proofErr w:type="spellEnd"/>
            <w:r w:rsidRPr="00C5029D">
              <w:rPr>
                <w:rFonts w:cs="Arial"/>
                <w:color w:val="auto"/>
                <w:sz w:val="22"/>
                <w:szCs w:val="22"/>
              </w:rPr>
              <w:t xml:space="preserve">’ Stone) daycentre to support rough sleepers and those vulnerably housed through a range of activities, training and education and where appropriate sign post clients to more appropriate services. </w:t>
            </w:r>
          </w:p>
        </w:tc>
      </w:tr>
      <w:tr w:rsidR="00C5029D" w:rsidRPr="00C5029D" w:rsidTr="006054F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Aspire </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Aspire Oxford</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£77,623</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£77,623</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for 2 FTE Education, Training and Employment workers to provide training and employment opportunities for homeless and/or vulnerably housed individuals in the City. Aspire is a social </w:t>
            </w:r>
            <w:r w:rsidRPr="00C5029D">
              <w:rPr>
                <w:rFonts w:cs="Arial"/>
                <w:color w:val="auto"/>
                <w:sz w:val="22"/>
                <w:szCs w:val="22"/>
              </w:rPr>
              <w:lastRenderedPageBreak/>
              <w:t xml:space="preserve">enterprise working towards becoming self-sufficient. </w:t>
            </w:r>
          </w:p>
        </w:tc>
      </w:tr>
      <w:tr w:rsidR="00C5029D" w:rsidRPr="00C5029D" w:rsidTr="006054F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i/>
                <w:color w:val="auto"/>
                <w:sz w:val="22"/>
                <w:szCs w:val="22"/>
              </w:rPr>
            </w:pPr>
            <w:r w:rsidRPr="00C5029D">
              <w:rPr>
                <w:rFonts w:cs="Arial"/>
                <w:i/>
                <w:color w:val="auto"/>
                <w:sz w:val="22"/>
                <w:szCs w:val="22"/>
              </w:rPr>
              <w:lastRenderedPageBreak/>
              <w:t>Second-hand furniture store</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i/>
                <w:color w:val="auto"/>
                <w:sz w:val="22"/>
                <w:szCs w:val="22"/>
              </w:rPr>
            </w:pPr>
            <w:r w:rsidRPr="00C5029D">
              <w:rPr>
                <w:rFonts w:cs="Arial"/>
                <w:i/>
                <w:color w:val="auto"/>
                <w:sz w:val="22"/>
                <w:szCs w:val="22"/>
              </w:rPr>
              <w:t>Emmaus</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i/>
                <w:color w:val="auto"/>
                <w:sz w:val="22"/>
                <w:szCs w:val="22"/>
              </w:rPr>
            </w:pPr>
            <w:r w:rsidRPr="00C5029D">
              <w:rPr>
                <w:rFonts w:cs="Arial"/>
                <w:i/>
                <w:color w:val="auto"/>
                <w:sz w:val="22"/>
                <w:szCs w:val="22"/>
              </w:rPr>
              <w:t>£5,000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A06BCA">
            <w:pPr>
              <w:spacing w:beforeLines="60" w:before="144" w:afterLines="60" w:after="144"/>
              <w:jc w:val="center"/>
              <w:rPr>
                <w:rFonts w:cs="Arial"/>
                <w:i/>
                <w:color w:val="auto"/>
                <w:sz w:val="22"/>
                <w:szCs w:val="22"/>
              </w:rPr>
            </w:pPr>
            <w:r w:rsidRPr="00C5029D">
              <w:rPr>
                <w:rFonts w:cs="Arial"/>
                <w:i/>
                <w:color w:val="auto"/>
                <w:sz w:val="22"/>
                <w:szCs w:val="22"/>
              </w:rPr>
              <w:t>£</w:t>
            </w:r>
            <w:r w:rsidR="000970FB">
              <w:rPr>
                <w:rFonts w:cs="Arial"/>
                <w:i/>
                <w:color w:val="auto"/>
                <w:sz w:val="22"/>
                <w:szCs w:val="22"/>
              </w:rPr>
              <w:t>5,00</w:t>
            </w:r>
            <w:r w:rsidR="00A06BCA">
              <w:rPr>
                <w:rFonts w:cs="Arial"/>
                <w:i/>
                <w:color w:val="auto"/>
                <w:sz w:val="22"/>
                <w:szCs w:val="22"/>
              </w:rPr>
              <w:t>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i/>
                <w:color w:val="auto"/>
                <w:sz w:val="22"/>
                <w:szCs w:val="22"/>
              </w:rPr>
            </w:pPr>
            <w:r w:rsidRPr="00C5029D">
              <w:rPr>
                <w:rFonts w:cs="Arial"/>
                <w:i/>
                <w:color w:val="auto"/>
                <w:sz w:val="22"/>
                <w:szCs w:val="22"/>
              </w:rPr>
              <w:t xml:space="preserve">Funding for Emmaus to provide accommodation in their community and work opportunities in their second-hand furniture social enterprise, tapering to £0 in 2020/21 when the business is expected to be financially self-sustaining. </w:t>
            </w:r>
          </w:p>
        </w:tc>
      </w:tr>
      <w:tr w:rsidR="00C5029D" w:rsidRPr="00C5029D" w:rsidTr="006054FE">
        <w:trPr>
          <w:trHeight w:val="983"/>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Service Broker - The Big Issue Foundation</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The Big Issue Foundation</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£3,125</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993474">
            <w:pPr>
              <w:spacing w:beforeLines="60" w:before="144" w:afterLines="60" w:after="144"/>
              <w:jc w:val="center"/>
              <w:rPr>
                <w:rFonts w:cs="Arial"/>
                <w:color w:val="auto"/>
                <w:sz w:val="22"/>
                <w:szCs w:val="22"/>
              </w:rPr>
            </w:pPr>
            <w:r w:rsidRPr="00993474">
              <w:rPr>
                <w:rFonts w:cs="Arial"/>
                <w:color w:val="92D050"/>
                <w:sz w:val="22"/>
                <w:szCs w:val="22"/>
              </w:rPr>
              <w:t>£</w:t>
            </w:r>
            <w:r w:rsidR="00993474" w:rsidRPr="00993474">
              <w:rPr>
                <w:rFonts w:cs="Arial"/>
                <w:color w:val="92D050"/>
                <w:sz w:val="22"/>
                <w:szCs w:val="22"/>
              </w:rPr>
              <w:t>0</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DC2444" w:rsidRDefault="00C5029D" w:rsidP="00C5029D">
            <w:pPr>
              <w:spacing w:beforeLines="60" w:before="144" w:afterLines="60" w:after="144"/>
              <w:rPr>
                <w:rFonts w:cs="Arial"/>
                <w:color w:val="auto"/>
                <w:sz w:val="22"/>
                <w:szCs w:val="22"/>
              </w:rPr>
            </w:pPr>
            <w:r w:rsidRPr="00C5029D">
              <w:rPr>
                <w:rFonts w:cs="Arial"/>
                <w:color w:val="auto"/>
                <w:sz w:val="22"/>
                <w:szCs w:val="22"/>
              </w:rPr>
              <w:t>The Big Issue Foundation was previously funded to support Big Issue sellers into accommodation and into sustainable work opportunities</w:t>
            </w:r>
            <w:r w:rsidR="00DC2444">
              <w:rPr>
                <w:rFonts w:cs="Arial"/>
                <w:color w:val="auto"/>
                <w:sz w:val="22"/>
                <w:szCs w:val="22"/>
              </w:rPr>
              <w:t>. However, service performance w</w:t>
            </w:r>
            <w:r w:rsidRPr="00C5029D">
              <w:rPr>
                <w:rFonts w:cs="Arial"/>
                <w:color w:val="auto"/>
                <w:sz w:val="22"/>
                <w:szCs w:val="22"/>
              </w:rPr>
              <w:t xml:space="preserve">as </w:t>
            </w:r>
            <w:r w:rsidR="00DC2444">
              <w:rPr>
                <w:rFonts w:cs="Arial"/>
                <w:color w:val="auto"/>
                <w:sz w:val="22"/>
                <w:szCs w:val="22"/>
              </w:rPr>
              <w:t xml:space="preserve">not satisfactory and the contract ended in 2018/19. </w:t>
            </w:r>
          </w:p>
          <w:p w:rsidR="00DC2444" w:rsidRPr="00C5029D" w:rsidRDefault="00DC2444" w:rsidP="00C5029D">
            <w:pPr>
              <w:spacing w:beforeLines="60" w:before="144" w:afterLines="60" w:after="144"/>
              <w:rPr>
                <w:rFonts w:cs="Arial"/>
                <w:color w:val="auto"/>
                <w:sz w:val="22"/>
                <w:szCs w:val="22"/>
              </w:rPr>
            </w:pPr>
            <w:r w:rsidRPr="00DC2444">
              <w:rPr>
                <w:rFonts w:cs="Arial"/>
                <w:color w:val="auto"/>
                <w:sz w:val="22"/>
                <w:szCs w:val="22"/>
              </w:rPr>
              <w:t>A contingency was of £3,125 was allocated in 2019/20 to facilitate the ending of the previous Big Issue Service Broker Payment by Results contract. There has been no claim against this allocation and the forecast spend to year end is therefore £nil.</w:t>
            </w:r>
          </w:p>
        </w:tc>
      </w:tr>
      <w:tr w:rsidR="00C5029D" w:rsidRPr="00C5029D" w:rsidTr="006054FE">
        <w:trPr>
          <w:trHeight w:val="255"/>
        </w:trPr>
        <w:tc>
          <w:tcPr>
            <w:tcW w:w="2835" w:type="dxa"/>
            <w:tcBorders>
              <w:top w:val="nil"/>
              <w:left w:val="single" w:sz="4" w:space="0" w:color="auto"/>
              <w:bottom w:val="single" w:sz="4" w:space="0" w:color="auto"/>
              <w:right w:val="nil"/>
            </w:tcBorders>
            <w:shd w:val="clear" w:color="000000" w:fill="FFFF00"/>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Priority Services for Young People</w:t>
            </w:r>
          </w:p>
        </w:tc>
        <w:tc>
          <w:tcPr>
            <w:tcW w:w="2171" w:type="dxa"/>
            <w:tcBorders>
              <w:top w:val="single" w:sz="4" w:space="0" w:color="auto"/>
              <w:left w:val="nil"/>
              <w:bottom w:val="single" w:sz="4" w:space="0" w:color="auto"/>
              <w:right w:val="nil"/>
            </w:tcBorders>
            <w:shd w:val="clear" w:color="000000" w:fill="FFFF00"/>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FFFF00"/>
            <w:vAlign w:val="center"/>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£6,134</w:t>
            </w:r>
          </w:p>
        </w:tc>
        <w:tc>
          <w:tcPr>
            <w:tcW w:w="1373" w:type="dxa"/>
            <w:tcBorders>
              <w:top w:val="single" w:sz="4" w:space="0" w:color="auto"/>
              <w:left w:val="single" w:sz="4" w:space="0" w:color="auto"/>
              <w:bottom w:val="single" w:sz="4" w:space="0" w:color="auto"/>
              <w:right w:val="single" w:sz="4" w:space="0" w:color="auto"/>
            </w:tcBorders>
            <w:shd w:val="clear" w:color="000000" w:fill="FFFF00"/>
            <w:vAlign w:val="center"/>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£6,134</w:t>
            </w:r>
          </w:p>
        </w:tc>
        <w:tc>
          <w:tcPr>
            <w:tcW w:w="6766" w:type="dxa"/>
            <w:tcBorders>
              <w:top w:val="single" w:sz="4" w:space="0" w:color="auto"/>
              <w:left w:val="single" w:sz="4" w:space="0" w:color="auto"/>
              <w:bottom w:val="single" w:sz="4" w:space="0" w:color="auto"/>
              <w:right w:val="nil"/>
            </w:tcBorders>
            <w:shd w:val="clear" w:color="000000" w:fill="FFFF00"/>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6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Emergency Bed for Young Person in Oxford city</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Oxfordshire County Council</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£6,134</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£6,134</w:t>
            </w:r>
          </w:p>
        </w:tc>
        <w:tc>
          <w:tcPr>
            <w:tcW w:w="6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Funding provides one emergency bed within the Young Person’s pathway for use by Oxford City.</w:t>
            </w:r>
          </w:p>
        </w:tc>
      </w:tr>
      <w:tr w:rsidR="00C5029D" w:rsidRPr="00C5029D" w:rsidTr="006054FE">
        <w:trPr>
          <w:trHeight w:val="445"/>
        </w:trPr>
        <w:tc>
          <w:tcPr>
            <w:tcW w:w="2835" w:type="dxa"/>
            <w:tcBorders>
              <w:top w:val="nil"/>
              <w:left w:val="single" w:sz="4" w:space="0" w:color="auto"/>
              <w:bottom w:val="nil"/>
              <w:right w:val="single" w:sz="4" w:space="0" w:color="auto"/>
            </w:tcBorders>
            <w:shd w:val="clear" w:color="000000" w:fill="DA9694"/>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Other</w:t>
            </w:r>
          </w:p>
        </w:tc>
        <w:tc>
          <w:tcPr>
            <w:tcW w:w="2171" w:type="dxa"/>
            <w:tcBorders>
              <w:top w:val="nil"/>
              <w:left w:val="nil"/>
              <w:bottom w:val="nil"/>
              <w:right w:val="single" w:sz="4" w:space="0" w:color="auto"/>
            </w:tcBorders>
            <w:shd w:val="clear" w:color="000000" w:fill="DA9694"/>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DA9694"/>
            <w:vAlign w:val="center"/>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£136,859</w:t>
            </w:r>
          </w:p>
        </w:tc>
        <w:tc>
          <w:tcPr>
            <w:tcW w:w="1373" w:type="dxa"/>
            <w:tcBorders>
              <w:top w:val="single" w:sz="4" w:space="0" w:color="auto"/>
              <w:left w:val="single" w:sz="4" w:space="0" w:color="auto"/>
              <w:bottom w:val="single" w:sz="4" w:space="0" w:color="auto"/>
              <w:right w:val="single" w:sz="4" w:space="0" w:color="auto"/>
            </w:tcBorders>
            <w:shd w:val="clear" w:color="000000" w:fill="DA9694"/>
            <w:vAlign w:val="center"/>
          </w:tcPr>
          <w:p w:rsidR="00C5029D" w:rsidRPr="00C5029D" w:rsidRDefault="00C5029D" w:rsidP="006054FE">
            <w:pPr>
              <w:spacing w:beforeLines="60" w:before="144" w:afterLines="60" w:after="144"/>
              <w:jc w:val="center"/>
              <w:rPr>
                <w:rFonts w:cs="Arial"/>
                <w:b/>
                <w:bCs/>
                <w:color w:val="auto"/>
                <w:sz w:val="22"/>
                <w:szCs w:val="22"/>
              </w:rPr>
            </w:pPr>
            <w:r w:rsidRPr="00C5029D">
              <w:rPr>
                <w:rFonts w:cs="Arial"/>
                <w:b/>
                <w:bCs/>
                <w:color w:val="auto"/>
                <w:sz w:val="22"/>
                <w:szCs w:val="22"/>
              </w:rPr>
              <w:t>£13</w:t>
            </w:r>
            <w:r w:rsidR="006054FE">
              <w:rPr>
                <w:rFonts w:cs="Arial"/>
                <w:b/>
                <w:bCs/>
                <w:color w:val="auto"/>
                <w:sz w:val="22"/>
                <w:szCs w:val="22"/>
              </w:rPr>
              <w:t>0,881</w:t>
            </w:r>
          </w:p>
        </w:tc>
        <w:tc>
          <w:tcPr>
            <w:tcW w:w="6766" w:type="dxa"/>
            <w:tcBorders>
              <w:top w:val="nil"/>
              <w:left w:val="single" w:sz="4" w:space="0" w:color="auto"/>
              <w:bottom w:val="nil"/>
              <w:right w:val="single" w:sz="4" w:space="0" w:color="auto"/>
            </w:tcBorders>
            <w:shd w:val="clear" w:color="000000" w:fill="DA9694"/>
            <w:noWrap/>
            <w:vAlign w:val="center"/>
            <w:hideMark/>
          </w:tcPr>
          <w:p w:rsidR="00C5029D" w:rsidRPr="00C5029D" w:rsidRDefault="00C5029D"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C5029D" w:rsidRPr="00C5029D" w:rsidTr="006054FE">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Single Homelessness Team (current arrangements)</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Oxford City Council</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£120,000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£120,000</w:t>
            </w:r>
          </w:p>
        </w:tc>
        <w:tc>
          <w:tcPr>
            <w:tcW w:w="6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 xml:space="preserve">Funding contribution towards the Council’s Rough Sleeping and Single Homelessness Team. </w:t>
            </w:r>
          </w:p>
        </w:tc>
      </w:tr>
      <w:tr w:rsidR="00C5029D" w:rsidRPr="00C5029D" w:rsidTr="006054F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C5029D" w:rsidRDefault="00C5029D" w:rsidP="00C5029D">
            <w:pPr>
              <w:spacing w:beforeLines="60" w:before="144" w:afterLines="60" w:after="144"/>
              <w:rPr>
                <w:rFonts w:cs="Arial"/>
                <w:color w:val="auto"/>
                <w:sz w:val="22"/>
                <w:szCs w:val="22"/>
              </w:rPr>
            </w:pPr>
            <w:proofErr w:type="spellStart"/>
            <w:r w:rsidRPr="00C5029D">
              <w:rPr>
                <w:rFonts w:cs="Arial"/>
                <w:color w:val="auto"/>
                <w:sz w:val="22"/>
                <w:szCs w:val="22"/>
              </w:rPr>
              <w:t>Ox</w:t>
            </w:r>
            <w:r w:rsidR="008C1D94">
              <w:rPr>
                <w:rFonts w:cs="Arial"/>
                <w:color w:val="auto"/>
                <w:sz w:val="22"/>
                <w:szCs w:val="22"/>
              </w:rPr>
              <w:t>THINK</w:t>
            </w:r>
            <w:proofErr w:type="spellEnd"/>
            <w:r w:rsidR="008C1D94">
              <w:rPr>
                <w:rFonts w:cs="Arial"/>
                <w:color w:val="auto"/>
                <w:sz w:val="22"/>
                <w:szCs w:val="22"/>
              </w:rPr>
              <w:t xml:space="preserve"> (formerly Ox</w:t>
            </w:r>
            <w:r w:rsidRPr="00C5029D">
              <w:rPr>
                <w:rFonts w:cs="Arial"/>
                <w:color w:val="auto"/>
                <w:sz w:val="22"/>
                <w:szCs w:val="22"/>
              </w:rPr>
              <w:t>ford</w:t>
            </w:r>
            <w:r w:rsidR="008C1D94">
              <w:rPr>
                <w:rFonts w:cs="Arial"/>
                <w:color w:val="auto"/>
                <w:sz w:val="22"/>
                <w:szCs w:val="22"/>
              </w:rPr>
              <w:t xml:space="preserve"> </w:t>
            </w:r>
            <w:r w:rsidRPr="00C5029D">
              <w:rPr>
                <w:rFonts w:cs="Arial"/>
                <w:color w:val="auto"/>
                <w:sz w:val="22"/>
                <w:szCs w:val="22"/>
              </w:rPr>
              <w:t>CHAIN</w:t>
            </w:r>
            <w:r w:rsidR="008C1D94">
              <w:rPr>
                <w:rFonts w:cs="Arial"/>
                <w:color w:val="auto"/>
                <w:sz w:val="22"/>
                <w:szCs w:val="22"/>
              </w:rPr>
              <w:t>)</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Real Systems</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£5,272</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8C1D94" w:rsidP="00C5029D">
            <w:pPr>
              <w:spacing w:beforeLines="60" w:before="144" w:afterLines="60" w:after="144"/>
              <w:jc w:val="center"/>
              <w:rPr>
                <w:rFonts w:cs="Arial"/>
                <w:color w:val="auto"/>
                <w:sz w:val="22"/>
                <w:szCs w:val="22"/>
              </w:rPr>
            </w:pPr>
            <w:r w:rsidRPr="008C1D94">
              <w:rPr>
                <w:rFonts w:cs="Arial"/>
                <w:color w:val="92D050"/>
                <w:sz w:val="22"/>
                <w:szCs w:val="22"/>
              </w:rPr>
              <w:t>£5,027</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DC2444" w:rsidP="00DC2444">
            <w:pPr>
              <w:spacing w:beforeLines="60" w:before="144" w:afterLines="60" w:after="144"/>
              <w:rPr>
                <w:rFonts w:cs="Arial"/>
                <w:color w:val="auto"/>
                <w:sz w:val="22"/>
                <w:szCs w:val="22"/>
              </w:rPr>
            </w:pPr>
            <w:r w:rsidRPr="00DC2444">
              <w:rPr>
                <w:rFonts w:cs="Arial"/>
                <w:bCs/>
                <w:color w:val="auto"/>
                <w:sz w:val="22"/>
                <w:szCs w:val="22"/>
              </w:rPr>
              <w:t>Core funding to maintain web-based database management system that collates data and provides monitoring reports on rough sleeping. The forecast spend for this areas is slightly lower than the original allocation due to fewer than expected licences being needed.</w:t>
            </w:r>
          </w:p>
        </w:tc>
      </w:tr>
      <w:tr w:rsidR="00C5029D" w:rsidRPr="00C5029D" w:rsidTr="006054F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lastRenderedPageBreak/>
              <w:t>Network development programme</w:t>
            </w:r>
          </w:p>
        </w:tc>
        <w:tc>
          <w:tcPr>
            <w:tcW w:w="2171" w:type="dxa"/>
            <w:tcBorders>
              <w:top w:val="nil"/>
              <w:left w:val="nil"/>
              <w:bottom w:val="single" w:sz="4" w:space="0" w:color="auto"/>
              <w:right w:val="single" w:sz="4" w:space="0" w:color="auto"/>
            </w:tcBorders>
            <w:shd w:val="clear" w:color="auto" w:fill="auto"/>
            <w:noWrap/>
            <w:vAlign w:val="center"/>
          </w:tcPr>
          <w:p w:rsidR="00C5029D" w:rsidRPr="00C5029D" w:rsidRDefault="00C5029D" w:rsidP="00C5029D">
            <w:pPr>
              <w:spacing w:beforeLines="60" w:before="144" w:afterLines="60" w:after="144"/>
              <w:rPr>
                <w:rFonts w:cs="Arial"/>
                <w:color w:val="auto"/>
                <w:sz w:val="22"/>
                <w:szCs w:val="22"/>
              </w:rPr>
            </w:pPr>
            <w:r w:rsidRPr="00C5029D">
              <w:rPr>
                <w:rFonts w:cs="Arial"/>
                <w:color w:val="auto"/>
                <w:sz w:val="22"/>
                <w:szCs w:val="22"/>
              </w:rPr>
              <w:t>TBC</w:t>
            </w:r>
          </w:p>
        </w:tc>
        <w:tc>
          <w:tcPr>
            <w:tcW w:w="1422" w:type="dxa"/>
            <w:tcBorders>
              <w:top w:val="single" w:sz="4" w:space="0" w:color="auto"/>
              <w:left w:val="nil"/>
              <w:bottom w:val="single" w:sz="4" w:space="0" w:color="auto"/>
              <w:right w:val="single" w:sz="4" w:space="0" w:color="auto"/>
            </w:tcBorders>
            <w:vAlign w:val="center"/>
          </w:tcPr>
          <w:p w:rsidR="00C5029D" w:rsidRPr="00C5029D" w:rsidRDefault="00C5029D" w:rsidP="00C5029D">
            <w:pPr>
              <w:spacing w:beforeLines="60" w:before="144" w:afterLines="60" w:after="144"/>
              <w:jc w:val="center"/>
              <w:rPr>
                <w:rFonts w:cs="Arial"/>
                <w:color w:val="auto"/>
                <w:sz w:val="22"/>
                <w:szCs w:val="22"/>
              </w:rPr>
            </w:pPr>
            <w:r w:rsidRPr="00C5029D">
              <w:rPr>
                <w:rFonts w:cs="Arial"/>
                <w:color w:val="auto"/>
                <w:sz w:val="22"/>
                <w:szCs w:val="22"/>
              </w:rPr>
              <w:t>£5,000</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C5029D" w:rsidRDefault="00C5029D" w:rsidP="008C1D94">
            <w:pPr>
              <w:spacing w:beforeLines="60" w:before="144" w:afterLines="60" w:after="144"/>
              <w:jc w:val="center"/>
              <w:rPr>
                <w:rFonts w:cs="Arial"/>
                <w:color w:val="auto"/>
                <w:sz w:val="22"/>
                <w:szCs w:val="22"/>
              </w:rPr>
            </w:pPr>
            <w:r w:rsidRPr="008C1D94">
              <w:rPr>
                <w:rFonts w:cs="Arial"/>
                <w:color w:val="92D050"/>
                <w:sz w:val="22"/>
                <w:szCs w:val="22"/>
              </w:rPr>
              <w:t>£</w:t>
            </w:r>
            <w:r w:rsidR="008C1D94" w:rsidRPr="008C1D94">
              <w:rPr>
                <w:rFonts w:cs="Arial"/>
                <w:color w:val="92D050"/>
                <w:sz w:val="22"/>
                <w:szCs w:val="22"/>
              </w:rPr>
              <w:t>0</w:t>
            </w:r>
          </w:p>
        </w:tc>
        <w:tc>
          <w:tcPr>
            <w:tcW w:w="6766" w:type="dxa"/>
            <w:tcBorders>
              <w:top w:val="nil"/>
              <w:left w:val="single" w:sz="4" w:space="0" w:color="auto"/>
              <w:bottom w:val="single" w:sz="4" w:space="0" w:color="auto"/>
              <w:right w:val="single" w:sz="4" w:space="0" w:color="auto"/>
            </w:tcBorders>
            <w:shd w:val="clear" w:color="auto" w:fill="auto"/>
            <w:noWrap/>
            <w:vAlign w:val="center"/>
          </w:tcPr>
          <w:p w:rsidR="00C5029D" w:rsidRPr="00C5029D" w:rsidRDefault="008C1D94" w:rsidP="008C1D94">
            <w:pPr>
              <w:spacing w:beforeLines="60" w:before="144" w:afterLines="60" w:after="144"/>
              <w:rPr>
                <w:sz w:val="22"/>
                <w:szCs w:val="22"/>
              </w:rPr>
            </w:pPr>
            <w:r>
              <w:rPr>
                <w:rFonts w:cs="Arial"/>
                <w:color w:val="auto"/>
                <w:sz w:val="22"/>
                <w:szCs w:val="22"/>
              </w:rPr>
              <w:t>As a result of competing priorities, it has not been possible to take forward this element of the team’s work programme. Instead, it is hoped that the development of a countywide strategy for rough sleeping and single homelessness will throw light on what is needed to develop the capacity and capability of the workforce.</w:t>
            </w:r>
          </w:p>
        </w:tc>
      </w:tr>
      <w:tr w:rsidR="00902D72" w:rsidRPr="00D811C9" w:rsidTr="006054FE">
        <w:trPr>
          <w:trHeight w:val="255"/>
        </w:trPr>
        <w:tc>
          <w:tcPr>
            <w:tcW w:w="2835" w:type="dxa"/>
            <w:vMerge w:val="restart"/>
            <w:tcBorders>
              <w:top w:val="nil"/>
              <w:left w:val="single" w:sz="4" w:space="0" w:color="auto"/>
              <w:right w:val="single" w:sz="4" w:space="0" w:color="auto"/>
            </w:tcBorders>
            <w:shd w:val="clear" w:color="auto" w:fill="auto"/>
            <w:vAlign w:val="center"/>
          </w:tcPr>
          <w:p w:rsidR="00902D72" w:rsidRPr="00064556" w:rsidRDefault="00902D72" w:rsidP="00C5029D">
            <w:pPr>
              <w:spacing w:beforeLines="60" w:before="144" w:afterLines="60" w:after="144"/>
              <w:rPr>
                <w:rFonts w:cs="Arial"/>
                <w:color w:val="auto"/>
                <w:sz w:val="22"/>
                <w:szCs w:val="22"/>
              </w:rPr>
            </w:pPr>
            <w:r w:rsidRPr="00064556">
              <w:rPr>
                <w:rFonts w:cs="Arial"/>
                <w:color w:val="auto"/>
                <w:sz w:val="22"/>
                <w:szCs w:val="22"/>
              </w:rPr>
              <w:t>Access to leisure services</w:t>
            </w:r>
          </w:p>
        </w:tc>
        <w:tc>
          <w:tcPr>
            <w:tcW w:w="2171" w:type="dxa"/>
            <w:vMerge w:val="restart"/>
            <w:tcBorders>
              <w:top w:val="nil"/>
              <w:left w:val="nil"/>
              <w:right w:val="single" w:sz="4" w:space="0" w:color="auto"/>
            </w:tcBorders>
            <w:shd w:val="clear" w:color="auto" w:fill="auto"/>
            <w:noWrap/>
            <w:vAlign w:val="center"/>
          </w:tcPr>
          <w:p w:rsidR="00902D72" w:rsidRPr="00064556" w:rsidRDefault="00902D72" w:rsidP="00C5029D">
            <w:pPr>
              <w:spacing w:beforeLines="60" w:before="144" w:afterLines="60" w:after="144"/>
              <w:rPr>
                <w:rFonts w:cs="Arial"/>
                <w:color w:val="auto"/>
                <w:sz w:val="22"/>
                <w:szCs w:val="22"/>
              </w:rPr>
            </w:pPr>
            <w:r>
              <w:rPr>
                <w:rFonts w:cs="Arial"/>
                <w:color w:val="auto"/>
                <w:sz w:val="22"/>
                <w:szCs w:val="22"/>
              </w:rPr>
              <w:t>Fusion</w:t>
            </w:r>
          </w:p>
        </w:tc>
        <w:tc>
          <w:tcPr>
            <w:tcW w:w="1422" w:type="dxa"/>
            <w:vMerge w:val="restart"/>
            <w:tcBorders>
              <w:top w:val="single" w:sz="4" w:space="0" w:color="auto"/>
              <w:left w:val="nil"/>
              <w:right w:val="single" w:sz="4" w:space="0" w:color="auto"/>
            </w:tcBorders>
            <w:vAlign w:val="center"/>
          </w:tcPr>
          <w:p w:rsidR="00902D72" w:rsidRPr="00064556" w:rsidRDefault="00902D72" w:rsidP="00C5029D">
            <w:pPr>
              <w:spacing w:beforeLines="60" w:before="144" w:afterLines="60" w:after="144"/>
              <w:jc w:val="center"/>
              <w:rPr>
                <w:rFonts w:cs="Arial"/>
                <w:color w:val="auto"/>
                <w:sz w:val="22"/>
                <w:szCs w:val="22"/>
              </w:rPr>
            </w:pPr>
            <w:r w:rsidRPr="00064556">
              <w:rPr>
                <w:rFonts w:cs="Arial"/>
                <w:color w:val="auto"/>
                <w:sz w:val="22"/>
                <w:szCs w:val="22"/>
              </w:rPr>
              <w:t>£5,000</w:t>
            </w:r>
          </w:p>
        </w:tc>
        <w:tc>
          <w:tcPr>
            <w:tcW w:w="1373" w:type="dxa"/>
            <w:tcBorders>
              <w:top w:val="single" w:sz="4" w:space="0" w:color="auto"/>
              <w:left w:val="single" w:sz="4" w:space="0" w:color="auto"/>
              <w:bottom w:val="single" w:sz="4" w:space="0" w:color="auto"/>
              <w:right w:val="single" w:sz="4" w:space="0" w:color="auto"/>
            </w:tcBorders>
            <w:vAlign w:val="center"/>
          </w:tcPr>
          <w:p w:rsidR="00902D72" w:rsidRPr="00064556" w:rsidRDefault="00902D72" w:rsidP="008C1D94">
            <w:pPr>
              <w:spacing w:beforeLines="60" w:before="144" w:afterLines="60" w:after="144"/>
              <w:jc w:val="center"/>
              <w:rPr>
                <w:rFonts w:cs="Arial"/>
                <w:color w:val="auto"/>
                <w:sz w:val="22"/>
                <w:szCs w:val="22"/>
              </w:rPr>
            </w:pPr>
            <w:r w:rsidRPr="00064556">
              <w:rPr>
                <w:rFonts w:cs="Arial"/>
                <w:color w:val="92D050"/>
                <w:sz w:val="22"/>
                <w:szCs w:val="22"/>
              </w:rPr>
              <w:t>£3,276</w:t>
            </w:r>
          </w:p>
        </w:tc>
        <w:tc>
          <w:tcPr>
            <w:tcW w:w="6766" w:type="dxa"/>
            <w:tcBorders>
              <w:top w:val="nil"/>
              <w:left w:val="single" w:sz="4" w:space="0" w:color="auto"/>
              <w:bottom w:val="single" w:sz="4" w:space="0" w:color="auto"/>
              <w:right w:val="single" w:sz="4" w:space="0" w:color="auto"/>
            </w:tcBorders>
            <w:shd w:val="clear" w:color="auto" w:fill="auto"/>
            <w:noWrap/>
            <w:vAlign w:val="center"/>
          </w:tcPr>
          <w:p w:rsidR="00902D72" w:rsidRDefault="00902D72" w:rsidP="00C5029D">
            <w:pPr>
              <w:spacing w:beforeLines="60" w:before="144" w:afterLines="60" w:after="144"/>
              <w:rPr>
                <w:rFonts w:cs="Arial"/>
                <w:color w:val="auto"/>
                <w:sz w:val="22"/>
                <w:szCs w:val="22"/>
              </w:rPr>
            </w:pPr>
            <w:r w:rsidRPr="00064556">
              <w:rPr>
                <w:rFonts w:cs="Arial"/>
                <w:color w:val="auto"/>
                <w:sz w:val="22"/>
                <w:szCs w:val="22"/>
              </w:rPr>
              <w:t>To support former rough sleepers to access the Council’s leisure facilities free of charge.</w:t>
            </w:r>
            <w:r>
              <w:rPr>
                <w:rFonts w:cs="Arial"/>
                <w:color w:val="auto"/>
                <w:sz w:val="22"/>
                <w:szCs w:val="22"/>
              </w:rPr>
              <w:t xml:space="preserve"> </w:t>
            </w:r>
          </w:p>
          <w:p w:rsidR="00902D72" w:rsidRPr="000A71B8" w:rsidRDefault="00902D72" w:rsidP="00902D72">
            <w:pPr>
              <w:spacing w:beforeLines="60" w:before="144" w:afterLines="60" w:after="144"/>
              <w:rPr>
                <w:rFonts w:cs="Arial"/>
                <w:i/>
                <w:iCs/>
                <w:color w:val="auto"/>
              </w:rPr>
            </w:pPr>
            <w:r w:rsidRPr="000A71B8">
              <w:rPr>
                <w:rFonts w:cs="Arial"/>
                <w:color w:val="auto"/>
                <w:sz w:val="22"/>
                <w:szCs w:val="22"/>
              </w:rPr>
              <w:t xml:space="preserve">As of the end of December, we have received and accepted 16 applications for the scheme. </w:t>
            </w:r>
            <w:r>
              <w:rPr>
                <w:rFonts w:cs="Arial"/>
                <w:color w:val="auto"/>
                <w:sz w:val="22"/>
                <w:szCs w:val="22"/>
              </w:rPr>
              <w:t xml:space="preserve">A further round of publicity is planned for January to promote the scheme further. </w:t>
            </w:r>
            <w:r w:rsidRPr="000A71B8">
              <w:rPr>
                <w:rFonts w:cs="Arial"/>
                <w:color w:val="auto"/>
                <w:sz w:val="22"/>
                <w:szCs w:val="22"/>
              </w:rPr>
              <w:t>We will evaluate the success of the scheme through personal evaluations of the clients using the gym memberships, along with feedback from support workers and our leisure partner, Fusion.</w:t>
            </w:r>
          </w:p>
        </w:tc>
      </w:tr>
      <w:tr w:rsidR="00902D72" w:rsidRPr="00D811C9" w:rsidTr="006054FE">
        <w:trPr>
          <w:trHeight w:val="255"/>
        </w:trPr>
        <w:tc>
          <w:tcPr>
            <w:tcW w:w="2835" w:type="dxa"/>
            <w:vMerge/>
            <w:tcBorders>
              <w:left w:val="single" w:sz="4" w:space="0" w:color="auto"/>
              <w:bottom w:val="single" w:sz="4" w:space="0" w:color="auto"/>
              <w:right w:val="single" w:sz="4" w:space="0" w:color="auto"/>
            </w:tcBorders>
            <w:shd w:val="clear" w:color="auto" w:fill="auto"/>
            <w:vAlign w:val="center"/>
          </w:tcPr>
          <w:p w:rsidR="00902D72" w:rsidRPr="00064556" w:rsidRDefault="00902D72" w:rsidP="00C5029D">
            <w:pPr>
              <w:spacing w:beforeLines="60" w:before="144" w:afterLines="60" w:after="144"/>
              <w:rPr>
                <w:rFonts w:cs="Arial"/>
                <w:color w:val="auto"/>
                <w:sz w:val="22"/>
                <w:szCs w:val="22"/>
              </w:rPr>
            </w:pPr>
          </w:p>
        </w:tc>
        <w:tc>
          <w:tcPr>
            <w:tcW w:w="2171" w:type="dxa"/>
            <w:vMerge/>
            <w:tcBorders>
              <w:left w:val="nil"/>
              <w:bottom w:val="single" w:sz="4" w:space="0" w:color="auto"/>
              <w:right w:val="single" w:sz="4" w:space="0" w:color="auto"/>
            </w:tcBorders>
            <w:shd w:val="clear" w:color="auto" w:fill="auto"/>
            <w:noWrap/>
            <w:vAlign w:val="center"/>
          </w:tcPr>
          <w:p w:rsidR="00902D72" w:rsidRPr="00064556" w:rsidRDefault="00902D72" w:rsidP="00C5029D">
            <w:pPr>
              <w:spacing w:beforeLines="60" w:before="144" w:afterLines="60" w:after="144"/>
              <w:rPr>
                <w:rFonts w:cs="Arial"/>
                <w:color w:val="auto"/>
                <w:sz w:val="22"/>
                <w:szCs w:val="22"/>
              </w:rPr>
            </w:pPr>
          </w:p>
        </w:tc>
        <w:tc>
          <w:tcPr>
            <w:tcW w:w="1422" w:type="dxa"/>
            <w:vMerge/>
            <w:tcBorders>
              <w:left w:val="nil"/>
              <w:bottom w:val="single" w:sz="4" w:space="0" w:color="auto"/>
              <w:right w:val="single" w:sz="4" w:space="0" w:color="auto"/>
            </w:tcBorders>
            <w:vAlign w:val="center"/>
          </w:tcPr>
          <w:p w:rsidR="00902D72" w:rsidRPr="00064556" w:rsidRDefault="00902D72" w:rsidP="00C5029D">
            <w:pPr>
              <w:spacing w:beforeLines="60" w:before="144" w:afterLines="60" w:after="144"/>
              <w:jc w:val="center"/>
              <w:rPr>
                <w:rFonts w:cs="Arial"/>
                <w:color w:val="auto"/>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rsidR="00902D72" w:rsidRPr="00B43687" w:rsidRDefault="00902D72" w:rsidP="008C1D94">
            <w:pPr>
              <w:spacing w:beforeLines="60" w:before="144" w:afterLines="60" w:after="144"/>
              <w:jc w:val="center"/>
              <w:rPr>
                <w:rFonts w:cs="Arial"/>
                <w:color w:val="FF0000"/>
                <w:sz w:val="22"/>
                <w:szCs w:val="22"/>
              </w:rPr>
            </w:pPr>
            <w:r w:rsidRPr="00B43687">
              <w:rPr>
                <w:rFonts w:ascii="Calibri" w:hAnsi="Calibri" w:cs="Calibri"/>
                <w:color w:val="FF0000"/>
              </w:rPr>
              <w:t>1,724.00</w:t>
            </w:r>
          </w:p>
        </w:tc>
        <w:tc>
          <w:tcPr>
            <w:tcW w:w="6766" w:type="dxa"/>
            <w:tcBorders>
              <w:top w:val="nil"/>
              <w:left w:val="single" w:sz="4" w:space="0" w:color="auto"/>
              <w:bottom w:val="single" w:sz="4" w:space="0" w:color="auto"/>
              <w:right w:val="single" w:sz="4" w:space="0" w:color="auto"/>
            </w:tcBorders>
            <w:shd w:val="clear" w:color="auto" w:fill="auto"/>
            <w:noWrap/>
            <w:vAlign w:val="center"/>
          </w:tcPr>
          <w:p w:rsidR="00902D72" w:rsidRPr="00B43687" w:rsidRDefault="00902D72" w:rsidP="00C5029D">
            <w:pPr>
              <w:spacing w:beforeLines="60" w:before="144" w:afterLines="60" w:after="144"/>
              <w:rPr>
                <w:rFonts w:cs="Arial"/>
                <w:color w:val="FF0000"/>
                <w:sz w:val="22"/>
                <w:szCs w:val="22"/>
              </w:rPr>
            </w:pPr>
            <w:r w:rsidRPr="00B43687">
              <w:rPr>
                <w:rFonts w:cs="Arial"/>
                <w:color w:val="FF0000"/>
                <w:sz w:val="22"/>
                <w:szCs w:val="22"/>
              </w:rPr>
              <w:t>Proposed carry forward into 2020/21</w:t>
            </w:r>
          </w:p>
        </w:tc>
      </w:tr>
      <w:tr w:rsidR="00C5029D" w:rsidRPr="00C5029D" w:rsidTr="006054F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5029D" w:rsidRPr="000A71B8" w:rsidRDefault="00C5029D" w:rsidP="00C5029D">
            <w:pPr>
              <w:spacing w:beforeLines="60" w:before="144" w:afterLines="60" w:after="144"/>
              <w:rPr>
                <w:rFonts w:cs="Arial"/>
                <w:color w:val="auto"/>
                <w:sz w:val="22"/>
                <w:szCs w:val="22"/>
              </w:rPr>
            </w:pPr>
            <w:r w:rsidRPr="000A71B8">
              <w:rPr>
                <w:rFonts w:cs="Arial"/>
                <w:color w:val="auto"/>
                <w:sz w:val="22"/>
                <w:szCs w:val="22"/>
              </w:rPr>
              <w:t>Contingency</w:t>
            </w:r>
          </w:p>
        </w:tc>
        <w:tc>
          <w:tcPr>
            <w:tcW w:w="2171" w:type="dxa"/>
            <w:tcBorders>
              <w:top w:val="nil"/>
              <w:left w:val="nil"/>
              <w:bottom w:val="single" w:sz="4" w:space="0" w:color="auto"/>
              <w:right w:val="single" w:sz="4" w:space="0" w:color="auto"/>
            </w:tcBorders>
            <w:shd w:val="clear" w:color="auto" w:fill="auto"/>
            <w:noWrap/>
            <w:vAlign w:val="center"/>
            <w:hideMark/>
          </w:tcPr>
          <w:p w:rsidR="00C5029D" w:rsidRPr="000A71B8" w:rsidRDefault="00C5029D" w:rsidP="00C5029D">
            <w:pPr>
              <w:spacing w:beforeLines="60" w:before="144" w:afterLines="60" w:after="144"/>
              <w:rPr>
                <w:rFonts w:cs="Arial"/>
                <w:color w:val="auto"/>
                <w:sz w:val="22"/>
                <w:szCs w:val="22"/>
              </w:rPr>
            </w:pPr>
            <w:r w:rsidRPr="000A71B8">
              <w:rPr>
                <w:rFonts w:cs="Arial"/>
                <w:color w:val="auto"/>
                <w:sz w:val="22"/>
                <w:szCs w:val="22"/>
              </w:rPr>
              <w:t>TBC</w:t>
            </w:r>
          </w:p>
        </w:tc>
        <w:tc>
          <w:tcPr>
            <w:tcW w:w="1422" w:type="dxa"/>
            <w:tcBorders>
              <w:top w:val="single" w:sz="4" w:space="0" w:color="auto"/>
              <w:left w:val="nil"/>
              <w:bottom w:val="single" w:sz="4" w:space="0" w:color="auto"/>
              <w:right w:val="single" w:sz="4" w:space="0" w:color="auto"/>
            </w:tcBorders>
            <w:vAlign w:val="center"/>
          </w:tcPr>
          <w:p w:rsidR="00C5029D" w:rsidRPr="000A71B8" w:rsidRDefault="00C5029D" w:rsidP="00C5029D">
            <w:pPr>
              <w:spacing w:beforeLines="60" w:before="144" w:afterLines="60" w:after="144"/>
              <w:jc w:val="center"/>
              <w:rPr>
                <w:rFonts w:cs="Arial"/>
                <w:color w:val="auto"/>
                <w:sz w:val="22"/>
                <w:szCs w:val="22"/>
              </w:rPr>
            </w:pPr>
            <w:r w:rsidRPr="000A71B8">
              <w:rPr>
                <w:rFonts w:cs="Arial"/>
                <w:color w:val="auto"/>
                <w:sz w:val="22"/>
                <w:szCs w:val="22"/>
              </w:rPr>
              <w:t>£1,587</w:t>
            </w:r>
          </w:p>
        </w:tc>
        <w:tc>
          <w:tcPr>
            <w:tcW w:w="1373" w:type="dxa"/>
            <w:tcBorders>
              <w:top w:val="single" w:sz="4" w:space="0" w:color="auto"/>
              <w:left w:val="single" w:sz="4" w:space="0" w:color="auto"/>
              <w:bottom w:val="single" w:sz="4" w:space="0" w:color="auto"/>
              <w:right w:val="single" w:sz="4" w:space="0" w:color="auto"/>
            </w:tcBorders>
            <w:vAlign w:val="center"/>
          </w:tcPr>
          <w:p w:rsidR="00C5029D" w:rsidRPr="000A71B8" w:rsidRDefault="00C5029D" w:rsidP="00C5029D">
            <w:pPr>
              <w:spacing w:beforeLines="60" w:before="144" w:afterLines="60" w:after="144"/>
              <w:jc w:val="center"/>
              <w:rPr>
                <w:rFonts w:cs="Arial"/>
                <w:color w:val="auto"/>
                <w:sz w:val="22"/>
                <w:szCs w:val="22"/>
              </w:rPr>
            </w:pPr>
            <w:r w:rsidRPr="000A71B8">
              <w:rPr>
                <w:rFonts w:cs="Arial"/>
                <w:color w:val="auto"/>
                <w:sz w:val="22"/>
                <w:szCs w:val="22"/>
              </w:rPr>
              <w:t>£1,587</w:t>
            </w:r>
          </w:p>
        </w:tc>
        <w:tc>
          <w:tcPr>
            <w:tcW w:w="6766" w:type="dxa"/>
            <w:tcBorders>
              <w:top w:val="nil"/>
              <w:left w:val="single" w:sz="4" w:space="0" w:color="auto"/>
              <w:bottom w:val="single" w:sz="4" w:space="0" w:color="auto"/>
              <w:right w:val="single" w:sz="4" w:space="0" w:color="auto"/>
            </w:tcBorders>
            <w:shd w:val="clear" w:color="auto" w:fill="auto"/>
            <w:noWrap/>
            <w:vAlign w:val="center"/>
            <w:hideMark/>
          </w:tcPr>
          <w:p w:rsidR="00C5029D" w:rsidRPr="00C5029D" w:rsidRDefault="00C5029D" w:rsidP="000A71B8">
            <w:pPr>
              <w:spacing w:beforeLines="60" w:before="144" w:afterLines="60" w:after="144"/>
              <w:rPr>
                <w:rFonts w:cs="Arial"/>
                <w:color w:val="auto"/>
                <w:sz w:val="22"/>
                <w:szCs w:val="22"/>
              </w:rPr>
            </w:pPr>
            <w:r w:rsidRPr="000A71B8">
              <w:rPr>
                <w:rFonts w:cs="Arial"/>
                <w:color w:val="auto"/>
                <w:sz w:val="22"/>
                <w:szCs w:val="22"/>
              </w:rPr>
              <w:t>Funding put aside for in-year changes to committed allocations</w:t>
            </w:r>
            <w:r w:rsidR="000A71B8">
              <w:rPr>
                <w:rFonts w:cs="Arial"/>
                <w:color w:val="auto"/>
                <w:sz w:val="22"/>
                <w:szCs w:val="22"/>
              </w:rPr>
              <w:t>. Due to the higher forecast spend on SWEP, officers are expecting the allocated contingency to be fully spent.</w:t>
            </w:r>
          </w:p>
        </w:tc>
      </w:tr>
      <w:tr w:rsidR="006054FE" w:rsidRPr="00C5029D" w:rsidTr="006054FE">
        <w:trPr>
          <w:trHeight w:val="255"/>
        </w:trPr>
        <w:tc>
          <w:tcPr>
            <w:tcW w:w="50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054FE" w:rsidRPr="00C5029D" w:rsidRDefault="006054FE" w:rsidP="00C5029D">
            <w:pPr>
              <w:spacing w:beforeLines="60" w:before="144" w:afterLines="60" w:after="144"/>
              <w:rPr>
                <w:rFonts w:cs="Arial"/>
                <w:b/>
                <w:bCs/>
                <w:color w:val="auto"/>
                <w:sz w:val="22"/>
                <w:szCs w:val="22"/>
              </w:rPr>
            </w:pPr>
            <w:r w:rsidRPr="00C5029D">
              <w:rPr>
                <w:rFonts w:cs="Arial"/>
                <w:b/>
                <w:bCs/>
                <w:color w:val="auto"/>
                <w:sz w:val="22"/>
                <w:szCs w:val="22"/>
              </w:rPr>
              <w:t>Total allocated/committed</w:t>
            </w:r>
          </w:p>
          <w:p w:rsidR="006054FE" w:rsidRPr="00C5029D" w:rsidRDefault="006054FE"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c>
          <w:tcPr>
            <w:tcW w:w="1422" w:type="dxa"/>
            <w:tcBorders>
              <w:top w:val="single" w:sz="4" w:space="0" w:color="auto"/>
              <w:left w:val="nil"/>
              <w:bottom w:val="single" w:sz="4" w:space="0" w:color="auto"/>
              <w:right w:val="single" w:sz="4" w:space="0" w:color="auto"/>
            </w:tcBorders>
            <w:shd w:val="clear" w:color="000000" w:fill="F2F2F2"/>
          </w:tcPr>
          <w:p w:rsidR="006054FE" w:rsidRPr="00C5029D" w:rsidRDefault="006054FE" w:rsidP="00C5029D">
            <w:pPr>
              <w:jc w:val="center"/>
              <w:rPr>
                <w:rFonts w:cs="Arial"/>
                <w:b/>
                <w:bCs/>
                <w:sz w:val="22"/>
                <w:szCs w:val="22"/>
              </w:rPr>
            </w:pPr>
          </w:p>
          <w:p w:rsidR="006054FE" w:rsidRPr="00C5029D" w:rsidRDefault="006054FE" w:rsidP="00C5029D">
            <w:pPr>
              <w:jc w:val="center"/>
              <w:rPr>
                <w:rFonts w:cs="Arial"/>
                <w:b/>
                <w:bCs/>
                <w:sz w:val="22"/>
                <w:szCs w:val="22"/>
              </w:rPr>
            </w:pPr>
            <w:r w:rsidRPr="00C5029D">
              <w:rPr>
                <w:rFonts w:cs="Arial"/>
                <w:b/>
                <w:bCs/>
                <w:sz w:val="22"/>
                <w:szCs w:val="22"/>
              </w:rPr>
              <w:t>1,744,197</w:t>
            </w:r>
          </w:p>
        </w:tc>
        <w:tc>
          <w:tcPr>
            <w:tcW w:w="1373" w:type="dxa"/>
            <w:tcBorders>
              <w:top w:val="single" w:sz="4" w:space="0" w:color="auto"/>
              <w:left w:val="single" w:sz="4" w:space="0" w:color="auto"/>
              <w:bottom w:val="single" w:sz="4" w:space="0" w:color="auto"/>
              <w:right w:val="single" w:sz="4" w:space="0" w:color="auto"/>
            </w:tcBorders>
            <w:shd w:val="clear" w:color="000000" w:fill="F2F2F2"/>
          </w:tcPr>
          <w:p w:rsidR="006054FE" w:rsidRPr="00696178" w:rsidRDefault="006054FE" w:rsidP="00C5029D">
            <w:pPr>
              <w:jc w:val="center"/>
              <w:rPr>
                <w:rFonts w:cs="Arial"/>
                <w:b/>
                <w:bCs/>
                <w:sz w:val="22"/>
                <w:szCs w:val="22"/>
              </w:rPr>
            </w:pPr>
          </w:p>
          <w:p w:rsidR="006054FE" w:rsidRPr="00902D72" w:rsidRDefault="006054FE" w:rsidP="00902D72">
            <w:pPr>
              <w:spacing w:after="0"/>
              <w:jc w:val="center"/>
              <w:rPr>
                <w:rFonts w:cs="Arial"/>
                <w:b/>
                <w:bCs/>
                <w:sz w:val="22"/>
                <w:szCs w:val="22"/>
              </w:rPr>
            </w:pPr>
            <w:r w:rsidRPr="00902D72">
              <w:rPr>
                <w:rFonts w:cs="Arial"/>
                <w:b/>
                <w:bCs/>
                <w:sz w:val="22"/>
                <w:szCs w:val="22"/>
              </w:rPr>
              <w:t>£</w:t>
            </w:r>
            <w:r>
              <w:rPr>
                <w:rFonts w:cs="Arial"/>
                <w:b/>
                <w:bCs/>
                <w:sz w:val="22"/>
                <w:szCs w:val="22"/>
              </w:rPr>
              <w:t>1,731,228</w:t>
            </w:r>
          </w:p>
          <w:p w:rsidR="006054FE" w:rsidRPr="00696178" w:rsidRDefault="006054FE" w:rsidP="00696178">
            <w:pPr>
              <w:spacing w:after="0"/>
              <w:jc w:val="center"/>
              <w:rPr>
                <w:rFonts w:cs="Arial"/>
                <w:b/>
                <w:bCs/>
                <w:sz w:val="22"/>
                <w:szCs w:val="22"/>
              </w:rPr>
            </w:pPr>
          </w:p>
          <w:p w:rsidR="006054FE" w:rsidRPr="00696178" w:rsidRDefault="006054FE" w:rsidP="00696178">
            <w:pPr>
              <w:rPr>
                <w:rFonts w:cs="Arial"/>
                <w:b/>
                <w:bCs/>
                <w:sz w:val="22"/>
                <w:szCs w:val="22"/>
              </w:rPr>
            </w:pPr>
          </w:p>
        </w:tc>
        <w:tc>
          <w:tcPr>
            <w:tcW w:w="67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054FE" w:rsidRPr="00C5029D" w:rsidRDefault="006054FE" w:rsidP="00C5029D">
            <w:pPr>
              <w:spacing w:beforeLines="60" w:before="144" w:afterLines="60" w:after="144"/>
              <w:jc w:val="center"/>
              <w:rPr>
                <w:rFonts w:cs="Arial"/>
                <w:b/>
                <w:bCs/>
                <w:color w:val="auto"/>
                <w:sz w:val="22"/>
                <w:szCs w:val="22"/>
              </w:rPr>
            </w:pPr>
            <w:r w:rsidRPr="00C5029D">
              <w:rPr>
                <w:rFonts w:cs="Arial"/>
                <w:b/>
                <w:bCs/>
                <w:color w:val="auto"/>
                <w:sz w:val="22"/>
                <w:szCs w:val="22"/>
              </w:rPr>
              <w:t> </w:t>
            </w:r>
          </w:p>
        </w:tc>
      </w:tr>
      <w:tr w:rsidR="006054FE" w:rsidRPr="00696178" w:rsidTr="006054FE">
        <w:trPr>
          <w:trHeight w:val="255"/>
        </w:trPr>
        <w:tc>
          <w:tcPr>
            <w:tcW w:w="50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6054FE" w:rsidRPr="00C5029D" w:rsidRDefault="006054FE" w:rsidP="00696178">
            <w:pPr>
              <w:spacing w:beforeLines="60" w:before="144" w:afterLines="60" w:after="144"/>
              <w:rPr>
                <w:rFonts w:cs="Arial"/>
                <w:b/>
                <w:bCs/>
                <w:color w:val="auto"/>
                <w:sz w:val="22"/>
                <w:szCs w:val="22"/>
              </w:rPr>
            </w:pPr>
            <w:r>
              <w:rPr>
                <w:rFonts w:cs="Arial"/>
                <w:b/>
                <w:bCs/>
                <w:color w:val="auto"/>
                <w:sz w:val="22"/>
                <w:szCs w:val="22"/>
              </w:rPr>
              <w:t>Underspend against original allocation, to be re-allocated in year to cover forecast overspend on SWEP =</w:t>
            </w:r>
          </w:p>
        </w:tc>
        <w:tc>
          <w:tcPr>
            <w:tcW w:w="1422" w:type="dxa"/>
            <w:tcBorders>
              <w:top w:val="single" w:sz="4" w:space="0" w:color="auto"/>
              <w:left w:val="nil"/>
              <w:bottom w:val="single" w:sz="4" w:space="0" w:color="auto"/>
              <w:right w:val="single" w:sz="4" w:space="0" w:color="auto"/>
            </w:tcBorders>
            <w:shd w:val="clear" w:color="000000" w:fill="F2F2F2"/>
          </w:tcPr>
          <w:p w:rsidR="006054FE" w:rsidRPr="00696178" w:rsidRDefault="006054FE" w:rsidP="00696178">
            <w:pPr>
              <w:spacing w:beforeLines="60" w:before="144" w:afterLines="60" w:after="144"/>
              <w:rPr>
                <w:rFonts w:cs="Arial"/>
                <w:b/>
                <w:bCs/>
                <w:color w:val="auto"/>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000000" w:fill="F2F2F2"/>
          </w:tcPr>
          <w:p w:rsidR="006054FE" w:rsidRDefault="006054FE" w:rsidP="00696178">
            <w:pPr>
              <w:spacing w:after="0"/>
              <w:jc w:val="center"/>
              <w:rPr>
                <w:rFonts w:cs="Arial"/>
                <w:b/>
                <w:bCs/>
                <w:sz w:val="22"/>
                <w:szCs w:val="22"/>
              </w:rPr>
            </w:pPr>
          </w:p>
          <w:p w:rsidR="006054FE" w:rsidRPr="00696178" w:rsidRDefault="006054FE" w:rsidP="00B43687">
            <w:pPr>
              <w:spacing w:after="0"/>
              <w:jc w:val="center"/>
              <w:rPr>
                <w:rFonts w:cs="Arial"/>
                <w:b/>
                <w:bCs/>
                <w:sz w:val="22"/>
                <w:szCs w:val="22"/>
              </w:rPr>
            </w:pPr>
            <w:r w:rsidRPr="00696178">
              <w:rPr>
                <w:rFonts w:cs="Arial"/>
                <w:b/>
                <w:bCs/>
                <w:sz w:val="22"/>
                <w:szCs w:val="22"/>
              </w:rPr>
              <w:t>£</w:t>
            </w:r>
            <w:r>
              <w:rPr>
                <w:rFonts w:cs="Arial"/>
                <w:b/>
                <w:bCs/>
                <w:sz w:val="22"/>
                <w:szCs w:val="22"/>
              </w:rPr>
              <w:t>12,969</w:t>
            </w:r>
          </w:p>
        </w:tc>
        <w:tc>
          <w:tcPr>
            <w:tcW w:w="676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054FE" w:rsidRPr="00C5029D" w:rsidRDefault="006054FE" w:rsidP="00696178">
            <w:pPr>
              <w:spacing w:beforeLines="60" w:before="144" w:afterLines="60" w:after="144"/>
              <w:rPr>
                <w:rFonts w:cs="Arial"/>
                <w:b/>
                <w:bCs/>
                <w:color w:val="auto"/>
                <w:sz w:val="22"/>
                <w:szCs w:val="22"/>
              </w:rPr>
            </w:pPr>
          </w:p>
        </w:tc>
      </w:tr>
      <w:tr w:rsidR="006054FE" w:rsidRPr="00696178" w:rsidTr="006054FE">
        <w:trPr>
          <w:trHeight w:val="255"/>
        </w:trPr>
        <w:tc>
          <w:tcPr>
            <w:tcW w:w="50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6054FE" w:rsidRPr="00C5029D" w:rsidRDefault="006054FE" w:rsidP="00242DE2">
            <w:pPr>
              <w:spacing w:beforeLines="60" w:before="144" w:afterLines="60" w:after="144"/>
              <w:rPr>
                <w:rFonts w:cs="Arial"/>
                <w:b/>
                <w:bCs/>
                <w:color w:val="auto"/>
                <w:sz w:val="22"/>
                <w:szCs w:val="22"/>
              </w:rPr>
            </w:pPr>
            <w:r>
              <w:rPr>
                <w:rFonts w:cs="Arial"/>
                <w:b/>
                <w:bCs/>
                <w:color w:val="auto"/>
                <w:sz w:val="22"/>
                <w:szCs w:val="22"/>
              </w:rPr>
              <w:t>Forecast outturn =</w:t>
            </w:r>
          </w:p>
        </w:tc>
        <w:tc>
          <w:tcPr>
            <w:tcW w:w="1422" w:type="dxa"/>
            <w:tcBorders>
              <w:top w:val="single" w:sz="4" w:space="0" w:color="auto"/>
              <w:left w:val="nil"/>
              <w:bottom w:val="single" w:sz="4" w:space="0" w:color="auto"/>
              <w:right w:val="single" w:sz="4" w:space="0" w:color="auto"/>
            </w:tcBorders>
            <w:shd w:val="clear" w:color="000000" w:fill="F2F2F2"/>
          </w:tcPr>
          <w:p w:rsidR="006054FE" w:rsidRPr="00696178" w:rsidRDefault="006054FE" w:rsidP="00242DE2">
            <w:pPr>
              <w:spacing w:beforeLines="60" w:before="144" w:afterLines="60" w:after="144"/>
              <w:rPr>
                <w:rFonts w:cs="Arial"/>
                <w:b/>
                <w:bCs/>
                <w:color w:val="auto"/>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000000" w:fill="F2F2F2"/>
          </w:tcPr>
          <w:p w:rsidR="006054FE" w:rsidRDefault="006054FE" w:rsidP="00242DE2">
            <w:pPr>
              <w:spacing w:after="0"/>
              <w:jc w:val="center"/>
              <w:rPr>
                <w:rFonts w:cs="Arial"/>
                <w:b/>
                <w:bCs/>
                <w:sz w:val="22"/>
                <w:szCs w:val="22"/>
              </w:rPr>
            </w:pPr>
          </w:p>
          <w:p w:rsidR="006054FE" w:rsidRDefault="006054FE" w:rsidP="00242DE2">
            <w:pPr>
              <w:spacing w:after="0"/>
              <w:jc w:val="center"/>
              <w:rPr>
                <w:rFonts w:cs="Arial"/>
                <w:b/>
                <w:bCs/>
                <w:sz w:val="22"/>
                <w:szCs w:val="22"/>
              </w:rPr>
            </w:pPr>
            <w:r w:rsidRPr="00696178">
              <w:rPr>
                <w:rFonts w:cs="Arial"/>
                <w:b/>
                <w:bCs/>
                <w:sz w:val="22"/>
                <w:szCs w:val="22"/>
              </w:rPr>
              <w:t>£</w:t>
            </w:r>
            <w:r>
              <w:rPr>
                <w:rFonts w:cs="Arial"/>
                <w:b/>
                <w:bCs/>
                <w:sz w:val="22"/>
                <w:szCs w:val="22"/>
              </w:rPr>
              <w:t>Nil</w:t>
            </w:r>
          </w:p>
          <w:p w:rsidR="006054FE" w:rsidRPr="00696178" w:rsidRDefault="006054FE" w:rsidP="00242DE2">
            <w:pPr>
              <w:spacing w:after="0"/>
              <w:jc w:val="center"/>
              <w:rPr>
                <w:rFonts w:cs="Arial"/>
                <w:b/>
                <w:bCs/>
                <w:sz w:val="22"/>
                <w:szCs w:val="22"/>
              </w:rPr>
            </w:pPr>
          </w:p>
        </w:tc>
        <w:tc>
          <w:tcPr>
            <w:tcW w:w="6766"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054FE" w:rsidRPr="00C5029D" w:rsidRDefault="006054FE" w:rsidP="00242DE2">
            <w:pPr>
              <w:spacing w:beforeLines="60" w:before="144" w:afterLines="60" w:after="144"/>
              <w:rPr>
                <w:rFonts w:cs="Arial"/>
                <w:b/>
                <w:bCs/>
                <w:color w:val="auto"/>
                <w:sz w:val="22"/>
                <w:szCs w:val="22"/>
              </w:rPr>
            </w:pPr>
          </w:p>
        </w:tc>
      </w:tr>
      <w:tr w:rsidR="00C5029D" w:rsidRPr="00C5029D" w:rsidTr="006054FE">
        <w:trPr>
          <w:trHeight w:val="255"/>
        </w:trPr>
        <w:tc>
          <w:tcPr>
            <w:tcW w:w="2835" w:type="dxa"/>
            <w:tcBorders>
              <w:top w:val="nil"/>
              <w:left w:val="nil"/>
              <w:bottom w:val="nil"/>
              <w:right w:val="nil"/>
            </w:tcBorders>
            <w:shd w:val="clear" w:color="auto" w:fill="auto"/>
            <w:noWrap/>
            <w:vAlign w:val="bottom"/>
            <w:hideMark/>
          </w:tcPr>
          <w:p w:rsidR="00C5029D" w:rsidRPr="00C5029D" w:rsidRDefault="00C5029D" w:rsidP="00C5029D">
            <w:pPr>
              <w:spacing w:after="0"/>
              <w:rPr>
                <w:rFonts w:cs="Arial"/>
                <w:color w:val="DD0806"/>
                <w:sz w:val="22"/>
                <w:szCs w:val="22"/>
              </w:rPr>
            </w:pPr>
          </w:p>
        </w:tc>
        <w:tc>
          <w:tcPr>
            <w:tcW w:w="2171" w:type="dxa"/>
            <w:tcBorders>
              <w:top w:val="nil"/>
              <w:left w:val="nil"/>
              <w:bottom w:val="nil"/>
              <w:right w:val="nil"/>
            </w:tcBorders>
            <w:shd w:val="clear" w:color="auto" w:fill="auto"/>
            <w:noWrap/>
            <w:vAlign w:val="bottom"/>
          </w:tcPr>
          <w:p w:rsidR="00C5029D" w:rsidRPr="00C5029D" w:rsidRDefault="00C5029D" w:rsidP="00C5029D">
            <w:pPr>
              <w:spacing w:after="0"/>
              <w:rPr>
                <w:rFonts w:cs="Arial"/>
                <w:color w:val="DD0806"/>
                <w:sz w:val="22"/>
                <w:szCs w:val="22"/>
              </w:rPr>
            </w:pPr>
          </w:p>
        </w:tc>
        <w:tc>
          <w:tcPr>
            <w:tcW w:w="1422" w:type="dxa"/>
            <w:tcBorders>
              <w:top w:val="single" w:sz="4" w:space="0" w:color="auto"/>
              <w:left w:val="nil"/>
              <w:bottom w:val="nil"/>
              <w:right w:val="single" w:sz="4" w:space="0" w:color="auto"/>
            </w:tcBorders>
          </w:tcPr>
          <w:p w:rsidR="00C5029D" w:rsidRPr="00C5029D" w:rsidRDefault="00C5029D" w:rsidP="00C5029D">
            <w:pPr>
              <w:spacing w:after="0"/>
              <w:rPr>
                <w:rFonts w:cs="Arial"/>
                <w:color w:val="DD0806"/>
                <w:sz w:val="22"/>
                <w:szCs w:val="22"/>
              </w:rPr>
            </w:pPr>
          </w:p>
        </w:tc>
        <w:tc>
          <w:tcPr>
            <w:tcW w:w="1373" w:type="dxa"/>
            <w:tcBorders>
              <w:top w:val="single" w:sz="4" w:space="0" w:color="auto"/>
              <w:left w:val="nil"/>
              <w:bottom w:val="nil"/>
              <w:right w:val="nil"/>
            </w:tcBorders>
          </w:tcPr>
          <w:p w:rsidR="00C5029D" w:rsidRPr="00C5029D" w:rsidRDefault="00C5029D" w:rsidP="00C5029D">
            <w:pPr>
              <w:spacing w:after="0"/>
              <w:rPr>
                <w:rFonts w:cs="Arial"/>
                <w:color w:val="DD0806"/>
                <w:sz w:val="22"/>
                <w:szCs w:val="22"/>
              </w:rPr>
            </w:pPr>
          </w:p>
        </w:tc>
        <w:tc>
          <w:tcPr>
            <w:tcW w:w="6766" w:type="dxa"/>
            <w:tcBorders>
              <w:top w:val="nil"/>
              <w:left w:val="nil"/>
              <w:bottom w:val="nil"/>
              <w:right w:val="nil"/>
            </w:tcBorders>
            <w:shd w:val="clear" w:color="auto" w:fill="auto"/>
            <w:noWrap/>
            <w:vAlign w:val="bottom"/>
          </w:tcPr>
          <w:p w:rsidR="00C5029D" w:rsidRPr="00C5029D" w:rsidRDefault="00C5029D" w:rsidP="00C5029D">
            <w:pPr>
              <w:spacing w:after="0"/>
              <w:rPr>
                <w:rFonts w:cs="Arial"/>
                <w:color w:val="DD0806"/>
                <w:sz w:val="22"/>
                <w:szCs w:val="22"/>
              </w:rPr>
            </w:pPr>
          </w:p>
        </w:tc>
      </w:tr>
    </w:tbl>
    <w:p w:rsidR="004456DD" w:rsidRPr="009E51FC" w:rsidRDefault="004456DD" w:rsidP="0093067A"/>
    <w:sectPr w:rsidR="004456DD" w:rsidRPr="009E51FC" w:rsidSect="008B4C8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304" w:right="1418"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FF" w:rsidRDefault="000507FF" w:rsidP="004A6D2F">
      <w:r>
        <w:separator/>
      </w:r>
    </w:p>
  </w:endnote>
  <w:endnote w:type="continuationSeparator" w:id="0">
    <w:p w:rsidR="000507FF" w:rsidRDefault="000507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Do not use a footer or page numbers.</w:t>
    </w:r>
  </w:p>
  <w:p w:rsidR="000507FF" w:rsidRDefault="000507FF" w:rsidP="004A6D2F">
    <w:pPr>
      <w:pStyle w:val="Footer"/>
    </w:pPr>
  </w:p>
  <w:p w:rsidR="000507FF" w:rsidRDefault="000507F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0" w:rsidRDefault="00D71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FF" w:rsidRDefault="000507FF" w:rsidP="004A6D2F">
      <w:r>
        <w:separator/>
      </w:r>
    </w:p>
  </w:footnote>
  <w:footnote w:type="continuationSeparator" w:id="0">
    <w:p w:rsidR="000507FF" w:rsidRDefault="000507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0" w:rsidRDefault="00D71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10" w:rsidRDefault="00D71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Pr="00D71B10" w:rsidRDefault="00D71B10" w:rsidP="00D71B10">
    <w:pPr>
      <w:pStyle w:val="Header"/>
      <w:jc w:val="center"/>
      <w:rPr>
        <w:sz w:val="48"/>
        <w:szCs w:val="4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bookmarkStart w:id="0" w:name="_GoBack"/>
    <w:bookmarkEnd w:id="0"/>
    <w:r>
      <w:rPr>
        <w:sz w:val="48"/>
        <w:szCs w:val="48"/>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F0135"/>
    <w:multiLevelType w:val="hybridMultilevel"/>
    <w:tmpl w:val="FB0CA5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15B0338"/>
    <w:multiLevelType w:val="hybridMultilevel"/>
    <w:tmpl w:val="4F4E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FE0678"/>
    <w:multiLevelType w:val="hybridMultilevel"/>
    <w:tmpl w:val="A60460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98365C6"/>
    <w:multiLevelType w:val="multilevel"/>
    <w:tmpl w:val="E67CE66C"/>
    <w:numStyleLink w:val="StyleNumberedLeft0cmHanging075cm"/>
  </w:abstractNum>
  <w:num w:numId="1">
    <w:abstractNumId w:val="0"/>
  </w:num>
  <w:num w:numId="2">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5"/>
  </w:num>
  <w:num w:numId="4">
    <w:abstractNumId w:val="1"/>
  </w:num>
  <w:num w:numId="5">
    <w:abstractNumId w:val="14"/>
  </w:num>
  <w:num w:numId="6">
    <w:abstractNumId w:val="12"/>
  </w:num>
  <w:num w:numId="7">
    <w:abstractNumId w:val="10"/>
  </w:num>
  <w:num w:numId="8">
    <w:abstractNumId w:val="17"/>
  </w:num>
  <w:num w:numId="9">
    <w:abstractNumId w:val="17"/>
  </w:num>
  <w:num w:numId="10">
    <w:abstractNumId w:val="8"/>
  </w:num>
  <w:num w:numId="11">
    <w:abstractNumId w:val="13"/>
  </w:num>
  <w:num w:numId="12">
    <w:abstractNumId w:val="15"/>
  </w:num>
  <w:num w:numId="13">
    <w:abstractNumId w:val="17"/>
  </w:num>
  <w:num w:numId="14">
    <w:abstractNumId w:val="16"/>
  </w:num>
  <w:num w:numId="15">
    <w:abstractNumId w:val="17"/>
  </w:num>
  <w:num w:numId="16">
    <w:abstractNumId w:val="6"/>
  </w:num>
  <w:num w:numId="17">
    <w:abstractNumId w:val="17"/>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17"/>
  </w:num>
  <w:num w:numId="23">
    <w:abstractNumId w:val="9"/>
  </w:num>
  <w:num w:numId="24">
    <w:abstractNumId w:val="17"/>
  </w:num>
  <w:num w:numId="25">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26">
    <w:abstractNumId w:val="1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7">
    <w:abstractNumId w:val="4"/>
  </w:num>
  <w:num w:numId="28">
    <w:abstractNumId w:val="17"/>
    <w:lvlOverride w:ilvl="0">
      <w:lvl w:ilvl="0">
        <w:start w:val="1"/>
        <w:numFmt w:val="decimal"/>
        <w:pStyle w:val="ListParagraph"/>
        <w:lvlText w:val="%1."/>
        <w:lvlJc w:val="left"/>
        <w:pPr>
          <w:ind w:left="807" w:hanging="360"/>
        </w:pPr>
        <w:rPr>
          <w:rFonts w:ascii="Arial" w:hAnsi="Arial"/>
          <w:color w:val="000000"/>
          <w:sz w:val="24"/>
        </w:rPr>
      </w:lvl>
    </w:lvlOverride>
    <w:lvlOverride w:ilvl="1">
      <w:lvl w:ilvl="1">
        <w:start w:val="1"/>
        <w:numFmt w:val="lowerLetter"/>
        <w:lvlText w:val="%2."/>
        <w:lvlJc w:val="left"/>
        <w:pPr>
          <w:ind w:left="534" w:hanging="360"/>
        </w:pPr>
      </w:lvl>
    </w:lvlOverride>
    <w:lvlOverride w:ilvl="2">
      <w:lvl w:ilvl="2">
        <w:start w:val="1"/>
        <w:numFmt w:val="lowerRoman"/>
        <w:lvlText w:val="%3."/>
        <w:lvlJc w:val="right"/>
        <w:pPr>
          <w:ind w:left="1254" w:hanging="180"/>
        </w:pPr>
      </w:lvl>
    </w:lvlOverride>
    <w:lvlOverride w:ilvl="3">
      <w:lvl w:ilvl="3">
        <w:start w:val="1"/>
        <w:numFmt w:val="decimal"/>
        <w:lvlText w:val="%4."/>
        <w:lvlJc w:val="left"/>
        <w:pPr>
          <w:ind w:left="1974" w:hanging="360"/>
        </w:pPr>
      </w:lvl>
    </w:lvlOverride>
    <w:lvlOverride w:ilvl="4">
      <w:lvl w:ilvl="4">
        <w:start w:val="1"/>
        <w:numFmt w:val="lowerLetter"/>
        <w:lvlText w:val="%5."/>
        <w:lvlJc w:val="left"/>
        <w:pPr>
          <w:ind w:left="2694" w:hanging="360"/>
        </w:pPr>
      </w:lvl>
    </w:lvlOverride>
    <w:lvlOverride w:ilvl="5">
      <w:lvl w:ilvl="5">
        <w:start w:val="1"/>
        <w:numFmt w:val="lowerRoman"/>
        <w:lvlText w:val="%6."/>
        <w:lvlJc w:val="right"/>
        <w:pPr>
          <w:ind w:left="3414" w:hanging="180"/>
        </w:pPr>
      </w:lvl>
    </w:lvlOverride>
    <w:lvlOverride w:ilvl="6">
      <w:lvl w:ilvl="6">
        <w:start w:val="1"/>
        <w:numFmt w:val="decimal"/>
        <w:lvlText w:val="%7."/>
        <w:lvlJc w:val="left"/>
        <w:pPr>
          <w:ind w:left="4134" w:hanging="360"/>
        </w:pPr>
      </w:lvl>
    </w:lvlOverride>
    <w:lvlOverride w:ilvl="7">
      <w:lvl w:ilvl="7">
        <w:start w:val="1"/>
        <w:numFmt w:val="lowerLetter"/>
        <w:lvlText w:val="%8."/>
        <w:lvlJc w:val="left"/>
        <w:pPr>
          <w:ind w:left="4854" w:hanging="360"/>
        </w:pPr>
      </w:lvl>
    </w:lvlOverride>
    <w:lvlOverride w:ilvl="8">
      <w:lvl w:ilvl="8">
        <w:start w:val="1"/>
        <w:numFmt w:val="lowerRoman"/>
        <w:lvlText w:val="%9."/>
        <w:lvlJc w:val="right"/>
        <w:pPr>
          <w:ind w:left="5574" w:hanging="180"/>
        </w:pPr>
      </w:lvl>
    </w:lvlOverride>
  </w:num>
  <w:num w:numId="29">
    <w:abstractNumId w:val="2"/>
  </w:num>
  <w:num w:numId="30">
    <w:abstractNumId w:val="7"/>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37F05"/>
    <w:rsid w:val="00044E92"/>
    <w:rsid w:val="00045F8B"/>
    <w:rsid w:val="00046D2B"/>
    <w:rsid w:val="000507FF"/>
    <w:rsid w:val="00056263"/>
    <w:rsid w:val="00064556"/>
    <w:rsid w:val="00064D8A"/>
    <w:rsid w:val="00064F82"/>
    <w:rsid w:val="00066510"/>
    <w:rsid w:val="00073EF9"/>
    <w:rsid w:val="00077523"/>
    <w:rsid w:val="000831E1"/>
    <w:rsid w:val="000970FB"/>
    <w:rsid w:val="000A71B8"/>
    <w:rsid w:val="000A79F2"/>
    <w:rsid w:val="000B3E83"/>
    <w:rsid w:val="000C089F"/>
    <w:rsid w:val="000C3928"/>
    <w:rsid w:val="000C5E8E"/>
    <w:rsid w:val="000E37BE"/>
    <w:rsid w:val="000F4751"/>
    <w:rsid w:val="0010524C"/>
    <w:rsid w:val="00111FB1"/>
    <w:rsid w:val="00113418"/>
    <w:rsid w:val="00113C86"/>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097D"/>
    <w:rsid w:val="00202570"/>
    <w:rsid w:val="002069B3"/>
    <w:rsid w:val="002167EE"/>
    <w:rsid w:val="002234BF"/>
    <w:rsid w:val="00230449"/>
    <w:rsid w:val="00231570"/>
    <w:rsid w:val="002329CF"/>
    <w:rsid w:val="00232F5B"/>
    <w:rsid w:val="0023768F"/>
    <w:rsid w:val="00247C29"/>
    <w:rsid w:val="00260467"/>
    <w:rsid w:val="00263EA3"/>
    <w:rsid w:val="00277D18"/>
    <w:rsid w:val="002803FA"/>
    <w:rsid w:val="00284F85"/>
    <w:rsid w:val="00290915"/>
    <w:rsid w:val="00295CD3"/>
    <w:rsid w:val="00296C13"/>
    <w:rsid w:val="0029715B"/>
    <w:rsid w:val="002A22E2"/>
    <w:rsid w:val="002B3804"/>
    <w:rsid w:val="002B7981"/>
    <w:rsid w:val="002C64F7"/>
    <w:rsid w:val="002E12C1"/>
    <w:rsid w:val="002E19BC"/>
    <w:rsid w:val="002E5C85"/>
    <w:rsid w:val="002F077B"/>
    <w:rsid w:val="002F41F2"/>
    <w:rsid w:val="00301BF3"/>
    <w:rsid w:val="0030208D"/>
    <w:rsid w:val="00306FB6"/>
    <w:rsid w:val="00310ED5"/>
    <w:rsid w:val="00312113"/>
    <w:rsid w:val="0031529F"/>
    <w:rsid w:val="00323418"/>
    <w:rsid w:val="003257B8"/>
    <w:rsid w:val="003357BF"/>
    <w:rsid w:val="00335CB6"/>
    <w:rsid w:val="00357CCF"/>
    <w:rsid w:val="00364FAD"/>
    <w:rsid w:val="0036738F"/>
    <w:rsid w:val="0036759C"/>
    <w:rsid w:val="00367AE5"/>
    <w:rsid w:val="00367D71"/>
    <w:rsid w:val="0038150A"/>
    <w:rsid w:val="00387AEE"/>
    <w:rsid w:val="003921D7"/>
    <w:rsid w:val="003B2062"/>
    <w:rsid w:val="003B21FF"/>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1324E"/>
    <w:rsid w:val="00421CB2"/>
    <w:rsid w:val="00422B8E"/>
    <w:rsid w:val="00424AEF"/>
    <w:rsid w:val="004268B9"/>
    <w:rsid w:val="00427F5A"/>
    <w:rsid w:val="00433B96"/>
    <w:rsid w:val="00436196"/>
    <w:rsid w:val="00437D36"/>
    <w:rsid w:val="004440F1"/>
    <w:rsid w:val="004456DD"/>
    <w:rsid w:val="00446CDF"/>
    <w:rsid w:val="00450F8A"/>
    <w:rsid w:val="004521B7"/>
    <w:rsid w:val="00462AB5"/>
    <w:rsid w:val="004631A4"/>
    <w:rsid w:val="00465EAF"/>
    <w:rsid w:val="004738C5"/>
    <w:rsid w:val="00473ACB"/>
    <w:rsid w:val="00477CF6"/>
    <w:rsid w:val="00491046"/>
    <w:rsid w:val="004A0023"/>
    <w:rsid w:val="004A1491"/>
    <w:rsid w:val="004A2AC7"/>
    <w:rsid w:val="004A35C5"/>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31C1B"/>
    <w:rsid w:val="0054712D"/>
    <w:rsid w:val="00547EF6"/>
    <w:rsid w:val="005570B5"/>
    <w:rsid w:val="00567E18"/>
    <w:rsid w:val="00572A0B"/>
    <w:rsid w:val="00575F5F"/>
    <w:rsid w:val="00581805"/>
    <w:rsid w:val="0058347C"/>
    <w:rsid w:val="00585F76"/>
    <w:rsid w:val="005969F3"/>
    <w:rsid w:val="005A2CAC"/>
    <w:rsid w:val="005A34E4"/>
    <w:rsid w:val="005A7390"/>
    <w:rsid w:val="005B17F2"/>
    <w:rsid w:val="005B7FB0"/>
    <w:rsid w:val="005C0D7E"/>
    <w:rsid w:val="005C35A5"/>
    <w:rsid w:val="005C5425"/>
    <w:rsid w:val="005C577C"/>
    <w:rsid w:val="005C5844"/>
    <w:rsid w:val="005C6B5B"/>
    <w:rsid w:val="005C7759"/>
    <w:rsid w:val="005D0621"/>
    <w:rsid w:val="005D1E27"/>
    <w:rsid w:val="005D2A3E"/>
    <w:rsid w:val="005E022E"/>
    <w:rsid w:val="005E31BE"/>
    <w:rsid w:val="005E5215"/>
    <w:rsid w:val="005E72B2"/>
    <w:rsid w:val="005F7F7E"/>
    <w:rsid w:val="006054FE"/>
    <w:rsid w:val="00614693"/>
    <w:rsid w:val="00623C2F"/>
    <w:rsid w:val="006256A2"/>
    <w:rsid w:val="00627AE7"/>
    <w:rsid w:val="00633578"/>
    <w:rsid w:val="00637068"/>
    <w:rsid w:val="00640013"/>
    <w:rsid w:val="00641E81"/>
    <w:rsid w:val="00647581"/>
    <w:rsid w:val="00650811"/>
    <w:rsid w:val="00661D3E"/>
    <w:rsid w:val="00667A30"/>
    <w:rsid w:val="00671D34"/>
    <w:rsid w:val="00692627"/>
    <w:rsid w:val="00696178"/>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5BF0"/>
    <w:rsid w:val="007615FE"/>
    <w:rsid w:val="0076655C"/>
    <w:rsid w:val="007742DC"/>
    <w:rsid w:val="00791437"/>
    <w:rsid w:val="007A1E1A"/>
    <w:rsid w:val="007B0C2C"/>
    <w:rsid w:val="007B278E"/>
    <w:rsid w:val="007B2DA1"/>
    <w:rsid w:val="007B30BA"/>
    <w:rsid w:val="007B5646"/>
    <w:rsid w:val="007B76A2"/>
    <w:rsid w:val="007C5C23"/>
    <w:rsid w:val="007E2A26"/>
    <w:rsid w:val="007E570B"/>
    <w:rsid w:val="007F2348"/>
    <w:rsid w:val="00803F07"/>
    <w:rsid w:val="0080749A"/>
    <w:rsid w:val="00821A15"/>
    <w:rsid w:val="00821FB8"/>
    <w:rsid w:val="00822ACD"/>
    <w:rsid w:val="00855C66"/>
    <w:rsid w:val="008624C6"/>
    <w:rsid w:val="008667C3"/>
    <w:rsid w:val="00871EE4"/>
    <w:rsid w:val="008B293F"/>
    <w:rsid w:val="008B4C85"/>
    <w:rsid w:val="008B5C17"/>
    <w:rsid w:val="008B7371"/>
    <w:rsid w:val="008C1D94"/>
    <w:rsid w:val="008C1FBF"/>
    <w:rsid w:val="008C4B6C"/>
    <w:rsid w:val="008D26B5"/>
    <w:rsid w:val="008D3DDB"/>
    <w:rsid w:val="008F00D2"/>
    <w:rsid w:val="008F573F"/>
    <w:rsid w:val="00902D72"/>
    <w:rsid w:val="009034EC"/>
    <w:rsid w:val="009128E0"/>
    <w:rsid w:val="0092705F"/>
    <w:rsid w:val="0093067A"/>
    <w:rsid w:val="00941C60"/>
    <w:rsid w:val="00941CD8"/>
    <w:rsid w:val="00966D42"/>
    <w:rsid w:val="00971689"/>
    <w:rsid w:val="00973E90"/>
    <w:rsid w:val="00975B07"/>
    <w:rsid w:val="00980B4A"/>
    <w:rsid w:val="00990DF3"/>
    <w:rsid w:val="00993474"/>
    <w:rsid w:val="009B168F"/>
    <w:rsid w:val="009B326E"/>
    <w:rsid w:val="009B4537"/>
    <w:rsid w:val="009C497A"/>
    <w:rsid w:val="009E33A7"/>
    <w:rsid w:val="009E3D0A"/>
    <w:rsid w:val="009E51FC"/>
    <w:rsid w:val="009E631A"/>
    <w:rsid w:val="009E7DFC"/>
    <w:rsid w:val="009F05E5"/>
    <w:rsid w:val="009F1B44"/>
    <w:rsid w:val="009F1D28"/>
    <w:rsid w:val="009F7618"/>
    <w:rsid w:val="00A04D23"/>
    <w:rsid w:val="00A06766"/>
    <w:rsid w:val="00A06BCA"/>
    <w:rsid w:val="00A100F1"/>
    <w:rsid w:val="00A10813"/>
    <w:rsid w:val="00A13765"/>
    <w:rsid w:val="00A13F75"/>
    <w:rsid w:val="00A21B12"/>
    <w:rsid w:val="00A23F80"/>
    <w:rsid w:val="00A30645"/>
    <w:rsid w:val="00A34E15"/>
    <w:rsid w:val="00A4146A"/>
    <w:rsid w:val="00A42609"/>
    <w:rsid w:val="00A46E98"/>
    <w:rsid w:val="00A536AD"/>
    <w:rsid w:val="00A6352B"/>
    <w:rsid w:val="00A701B5"/>
    <w:rsid w:val="00A714BB"/>
    <w:rsid w:val="00A92D8F"/>
    <w:rsid w:val="00A9491C"/>
    <w:rsid w:val="00AA75FD"/>
    <w:rsid w:val="00AB2988"/>
    <w:rsid w:val="00AB7999"/>
    <w:rsid w:val="00AD3292"/>
    <w:rsid w:val="00AE4225"/>
    <w:rsid w:val="00AE7AF0"/>
    <w:rsid w:val="00AF45FA"/>
    <w:rsid w:val="00AF4A95"/>
    <w:rsid w:val="00B1713B"/>
    <w:rsid w:val="00B2337B"/>
    <w:rsid w:val="00B4230A"/>
    <w:rsid w:val="00B43687"/>
    <w:rsid w:val="00B44121"/>
    <w:rsid w:val="00B500CA"/>
    <w:rsid w:val="00B72910"/>
    <w:rsid w:val="00B86314"/>
    <w:rsid w:val="00B91B3D"/>
    <w:rsid w:val="00BA1C2E"/>
    <w:rsid w:val="00BA4073"/>
    <w:rsid w:val="00BC200B"/>
    <w:rsid w:val="00BC4756"/>
    <w:rsid w:val="00BC69A4"/>
    <w:rsid w:val="00BD5AEC"/>
    <w:rsid w:val="00BE0680"/>
    <w:rsid w:val="00BE1706"/>
    <w:rsid w:val="00BE305F"/>
    <w:rsid w:val="00BE7BA3"/>
    <w:rsid w:val="00BF5682"/>
    <w:rsid w:val="00BF7B09"/>
    <w:rsid w:val="00C103B5"/>
    <w:rsid w:val="00C11C17"/>
    <w:rsid w:val="00C161DA"/>
    <w:rsid w:val="00C20A95"/>
    <w:rsid w:val="00C2692F"/>
    <w:rsid w:val="00C27181"/>
    <w:rsid w:val="00C3207C"/>
    <w:rsid w:val="00C400E1"/>
    <w:rsid w:val="00C41187"/>
    <w:rsid w:val="00C5029D"/>
    <w:rsid w:val="00C62745"/>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6B99"/>
    <w:rsid w:val="00CE4C87"/>
    <w:rsid w:val="00CE544A"/>
    <w:rsid w:val="00D11E1C"/>
    <w:rsid w:val="00D160B0"/>
    <w:rsid w:val="00D17F94"/>
    <w:rsid w:val="00D223FC"/>
    <w:rsid w:val="00D23363"/>
    <w:rsid w:val="00D26D1E"/>
    <w:rsid w:val="00D37028"/>
    <w:rsid w:val="00D40CA3"/>
    <w:rsid w:val="00D474CF"/>
    <w:rsid w:val="00D5547E"/>
    <w:rsid w:val="00D71B10"/>
    <w:rsid w:val="00D74937"/>
    <w:rsid w:val="00D75C97"/>
    <w:rsid w:val="00D811C9"/>
    <w:rsid w:val="00D868FF"/>
    <w:rsid w:val="00D869A1"/>
    <w:rsid w:val="00DA413F"/>
    <w:rsid w:val="00DA4584"/>
    <w:rsid w:val="00DA614B"/>
    <w:rsid w:val="00DC2444"/>
    <w:rsid w:val="00DC3060"/>
    <w:rsid w:val="00DE0FB2"/>
    <w:rsid w:val="00DF093E"/>
    <w:rsid w:val="00E01F42"/>
    <w:rsid w:val="00E1225A"/>
    <w:rsid w:val="00E206D6"/>
    <w:rsid w:val="00E22841"/>
    <w:rsid w:val="00E3366E"/>
    <w:rsid w:val="00E4216B"/>
    <w:rsid w:val="00E52086"/>
    <w:rsid w:val="00E543A6"/>
    <w:rsid w:val="00E60479"/>
    <w:rsid w:val="00E61D73"/>
    <w:rsid w:val="00E67478"/>
    <w:rsid w:val="00E73684"/>
    <w:rsid w:val="00E818D6"/>
    <w:rsid w:val="00E860D4"/>
    <w:rsid w:val="00E87F7A"/>
    <w:rsid w:val="00E87FA2"/>
    <w:rsid w:val="00E96BD7"/>
    <w:rsid w:val="00EA0DB1"/>
    <w:rsid w:val="00EA0EE9"/>
    <w:rsid w:val="00EA7138"/>
    <w:rsid w:val="00EC0009"/>
    <w:rsid w:val="00EC4482"/>
    <w:rsid w:val="00ED52CA"/>
    <w:rsid w:val="00ED5860"/>
    <w:rsid w:val="00ED607A"/>
    <w:rsid w:val="00EE35C9"/>
    <w:rsid w:val="00EE5586"/>
    <w:rsid w:val="00EE612A"/>
    <w:rsid w:val="00EF3272"/>
    <w:rsid w:val="00F05ECA"/>
    <w:rsid w:val="00F07877"/>
    <w:rsid w:val="00F15646"/>
    <w:rsid w:val="00F2394D"/>
    <w:rsid w:val="00F3566E"/>
    <w:rsid w:val="00F375FB"/>
    <w:rsid w:val="00F41AC1"/>
    <w:rsid w:val="00F4367A"/>
    <w:rsid w:val="00F445B1"/>
    <w:rsid w:val="00F457C9"/>
    <w:rsid w:val="00F45CD4"/>
    <w:rsid w:val="00F66DCA"/>
    <w:rsid w:val="00F67CF4"/>
    <w:rsid w:val="00F74F53"/>
    <w:rsid w:val="00F7606D"/>
    <w:rsid w:val="00F77689"/>
    <w:rsid w:val="00F81670"/>
    <w:rsid w:val="00F82024"/>
    <w:rsid w:val="00F95BC9"/>
    <w:rsid w:val="00FA12CE"/>
    <w:rsid w:val="00FA624C"/>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67715222">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27455914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484198945">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970792899">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08687654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339131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662848855">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43996685">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E24C-F7CE-4FD9-8B4A-3CED0D9E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657A7B47</Template>
  <TotalTime>272</TotalTime>
  <Pages>8</Pages>
  <Words>1763</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JMitchell</cp:lastModifiedBy>
  <cp:revision>9</cp:revision>
  <cp:lastPrinted>2019-12-27T09:47:00Z</cp:lastPrinted>
  <dcterms:created xsi:type="dcterms:W3CDTF">2019-12-19T10:59:00Z</dcterms:created>
  <dcterms:modified xsi:type="dcterms:W3CDTF">2020-01-20T12:04:00Z</dcterms:modified>
</cp:coreProperties>
</file>